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E1AA" w14:textId="654CD55A" w:rsidR="00182B25" w:rsidRDefault="00CF30F9">
      <w:pPr>
        <w:spacing w:before="720"/>
        <w:jc w:val="center"/>
      </w:pPr>
      <w:r>
        <w:rPr>
          <w:b/>
          <w:color w:val="1B365D"/>
          <w:sz w:val="44"/>
        </w:rPr>
        <w:t>HNS Economic Impact Report</w:t>
      </w:r>
    </w:p>
    <w:p w14:paraId="23C527FA" w14:textId="77777777" w:rsidR="00182B25" w:rsidRDefault="00CF30F9">
      <w:pPr>
        <w:spacing w:after="480"/>
        <w:jc w:val="center"/>
      </w:pPr>
      <w:r>
        <w:rPr>
          <w:i/>
          <w:color w:val="5C768D"/>
          <w:sz w:val="26"/>
        </w:rPr>
        <w:t>The Global Economic Value of Structural Intelligence for AI Systems</w:t>
      </w:r>
    </w:p>
    <w:p w14:paraId="5D9B66E7" w14:textId="77777777" w:rsidR="00182B25" w:rsidRDefault="00CF30F9">
      <w:pPr>
        <w:spacing w:after="720"/>
        <w:jc w:val="center"/>
      </w:pPr>
      <w:r>
        <w:rPr>
          <w:b/>
        </w:rPr>
        <w:t>Author: Satoru Hara</w:t>
      </w:r>
      <w:r>
        <w:rPr>
          <w:b/>
        </w:rPr>
        <w:br/>
      </w:r>
      <w:r>
        <w:rPr>
          <w:color w:val="5C768D"/>
          <w:sz w:val="20"/>
        </w:rPr>
        <w:t>Independent Researcher / Founder, Natural Architecture Works (NAW)</w:t>
      </w:r>
      <w:r>
        <w:rPr>
          <w:color w:val="5C768D"/>
          <w:sz w:val="20"/>
        </w:rPr>
        <w:br/>
        <w:t>Toyota, Aichi, Japan</w:t>
      </w:r>
    </w:p>
    <w:p w14:paraId="2DC797E4" w14:textId="77777777" w:rsidR="00182B25" w:rsidRDefault="00CF30F9">
      <w:pPr>
        <w:keepNext/>
        <w:spacing w:before="440" w:after="200"/>
      </w:pPr>
      <w:r>
        <w:rPr>
          <w:b/>
          <w:color w:val="1B365D"/>
          <w:sz w:val="28"/>
        </w:rPr>
        <w:t>1. Executive Summary</w:t>
      </w:r>
    </w:p>
    <w:p w14:paraId="5D1AD5DA" w14:textId="77777777" w:rsidR="00182B25" w:rsidRDefault="00CF30F9">
      <w:r>
        <w:t>The Human Natural Structure (HNS) network—comprising HNS-36, the Structural Feedback Engine (HSF), the Semantic Operating System (SOHU), and the External Verification Architecture (EVA)—functions as the definitive Structural Intelligence Layer for contemporary and next-generation artificial intelligence systems. By introducing deterministic mathematical boundaries over probabilistic deep learning weight distributions, HNS provides the critical framework required for semantic explainability, cognitive safety</w:t>
      </w:r>
      <w:r>
        <w:t>, contextual coherence, and systemic auditing. This technological framework transforms black-box AI models from volatile automation assets into highly stable, verifiable enterprise-grade infrastructures.</w:t>
      </w:r>
    </w:p>
    <w:p w14:paraId="698AE5BB" w14:textId="77777777" w:rsidR="00182B25" w:rsidRDefault="00CF30F9">
      <w:r>
        <w:t>As global AI investment is systematically projected to reach approximately $1.8 trillion by 2030, the absence of a structured semantic coordination layer imposes severe hidden taxes on deployment, including unchecked hallucinations, litigation liabilities, and astronomical regulatory compliance overheads. By rectifying these systemic alignment failures, HNS optimizes, protects, and expands the macro-economic baseline of the global digital economy. This report quantifies five core economic value streams gene</w:t>
      </w:r>
      <w:r>
        <w:t>rated directly by HNS deployment:</w:t>
      </w:r>
    </w:p>
    <w:p w14:paraId="109C3976" w14:textId="77777777" w:rsidR="00182B25" w:rsidRDefault="00CF30F9">
      <w:pPr>
        <w:pStyle w:val="a0"/>
      </w:pPr>
      <w:r>
        <w:rPr>
          <w:b/>
        </w:rPr>
        <w:t xml:space="preserve">AI Operational Error and Incident Cost Reduction: </w:t>
      </w:r>
      <w:r>
        <w:t>Minimizing baseline risk vectors via real-time runtime interventions.</w:t>
      </w:r>
    </w:p>
    <w:p w14:paraId="54552760" w14:textId="77777777" w:rsidR="00182B25" w:rsidRDefault="00CF30F9">
      <w:pPr>
        <w:pStyle w:val="a0"/>
      </w:pPr>
      <w:r>
        <w:rPr>
          <w:b/>
        </w:rPr>
        <w:t xml:space="preserve">Explainability, Diagnostic Transparency, and Audit Cost Reduction: </w:t>
      </w:r>
      <w:r>
        <w:t>Automating the structural logging of neural activation steps.</w:t>
      </w:r>
    </w:p>
    <w:p w14:paraId="61D480F7" w14:textId="77777777" w:rsidR="00182B25" w:rsidRDefault="00CF30F9">
      <w:pPr>
        <w:pStyle w:val="a0"/>
      </w:pPr>
      <w:r>
        <w:rPr>
          <w:b/>
        </w:rPr>
        <w:t xml:space="preserve">Enterprise Knowledge Management Efficiency Gains: </w:t>
      </w:r>
      <w:r>
        <w:t>Transitioning legacy corporate data repositories into actionable, invariant semantic coordinates.</w:t>
      </w:r>
    </w:p>
    <w:p w14:paraId="30645D92" w14:textId="77777777" w:rsidR="00182B25" w:rsidRDefault="00CF30F9">
      <w:pPr>
        <w:pStyle w:val="a0"/>
      </w:pPr>
      <w:r>
        <w:rPr>
          <w:b/>
        </w:rPr>
        <w:t xml:space="preserve">Global Regulatory Compliance Optimization (EU AI Act, ISO/IEC 42001): </w:t>
      </w:r>
      <w:r>
        <w:t>Drastically lowering conformity barriers via automated external checksum generation.</w:t>
      </w:r>
    </w:p>
    <w:p w14:paraId="15667BB7" w14:textId="77777777" w:rsidR="00182B25" w:rsidRDefault="00CF30F9">
      <w:pPr>
        <w:pStyle w:val="a0"/>
      </w:pPr>
      <w:r>
        <w:rPr>
          <w:b/>
        </w:rPr>
        <w:t xml:space="preserve">Cross-Industry Multifactor Productivity Uplift: </w:t>
      </w:r>
      <w:r>
        <w:t>Accelerating corporate adoption curves and minimizing long-term integration friction.</w:t>
      </w:r>
    </w:p>
    <w:p w14:paraId="17A4CE82" w14:textId="77777777" w:rsidR="00182B25" w:rsidRDefault="00CF30F9">
      <w:r>
        <w:t>By structuring the underlying cognitive architecture of machine-mediated interactions, HNS secures an absolute economic leverage effect, directly optimizing between 10% to 20% of total global AI enterprise value.</w:t>
      </w:r>
    </w:p>
    <w:p w14:paraId="28931F74" w14:textId="77777777" w:rsidR="00182B25" w:rsidRDefault="00CF30F9">
      <w:pPr>
        <w:keepNext/>
        <w:spacing w:before="440" w:after="200"/>
      </w:pPr>
      <w:r>
        <w:rPr>
          <w:b/>
          <w:color w:val="1B365D"/>
          <w:sz w:val="28"/>
        </w:rPr>
        <w:lastRenderedPageBreak/>
        <w:t>2. The Five Economic Value Streams of HNS</w:t>
      </w:r>
    </w:p>
    <w:tbl>
      <w:tblPr>
        <w:tblW w:w="0" w:type="auto"/>
        <w:jc w:val="center"/>
        <w:tblLook w:val="04A0" w:firstRow="1" w:lastRow="0" w:firstColumn="1" w:lastColumn="0" w:noHBand="0" w:noVBand="1"/>
      </w:tblPr>
      <w:tblGrid>
        <w:gridCol w:w="2566"/>
        <w:gridCol w:w="2137"/>
        <w:gridCol w:w="4542"/>
      </w:tblGrid>
      <w:tr w:rsidR="00182B25" w14:paraId="760BE861" w14:textId="77777777">
        <w:trPr>
          <w:jc w:val="center"/>
        </w:trPr>
        <w:tc>
          <w:tcPr>
            <w:tcW w:w="2592" w:type="dxa"/>
            <w:tcBorders>
              <w:bottom w:val="single" w:sz="4" w:space="0" w:color="D3D3D3"/>
            </w:tcBorders>
            <w:shd w:val="clear" w:color="auto" w:fill="1B365D"/>
          </w:tcPr>
          <w:p w14:paraId="2F2A70E5" w14:textId="77777777" w:rsidR="00182B25" w:rsidRDefault="00CF30F9">
            <w:r>
              <w:rPr>
                <w:b/>
                <w:color w:val="FFFFFF"/>
                <w:sz w:val="20"/>
              </w:rPr>
              <w:t>Economic Value Stream</w:t>
            </w:r>
          </w:p>
        </w:tc>
        <w:tc>
          <w:tcPr>
            <w:tcW w:w="2160" w:type="dxa"/>
            <w:tcBorders>
              <w:bottom w:val="single" w:sz="4" w:space="0" w:color="D3D3D3"/>
            </w:tcBorders>
            <w:shd w:val="clear" w:color="auto" w:fill="1B365D"/>
          </w:tcPr>
          <w:p w14:paraId="0A39CD2C" w14:textId="77777777" w:rsidR="00182B25" w:rsidRDefault="00CF30F9">
            <w:r>
              <w:rPr>
                <w:b/>
                <w:color w:val="FFFFFF"/>
                <w:sz w:val="20"/>
              </w:rPr>
              <w:t>Projected Annual Impact</w:t>
            </w:r>
          </w:p>
        </w:tc>
        <w:tc>
          <w:tcPr>
            <w:tcW w:w="4608" w:type="dxa"/>
            <w:tcBorders>
              <w:bottom w:val="single" w:sz="4" w:space="0" w:color="D3D3D3"/>
            </w:tcBorders>
            <w:shd w:val="clear" w:color="auto" w:fill="1B365D"/>
          </w:tcPr>
          <w:p w14:paraId="6680CB80" w14:textId="77777777" w:rsidR="00182B25" w:rsidRDefault="00CF30F9">
            <w:r>
              <w:rPr>
                <w:b/>
                <w:color w:val="FFFFFF"/>
                <w:sz w:val="20"/>
              </w:rPr>
              <w:t>Primary HNS Architectural Mechanism</w:t>
            </w:r>
          </w:p>
        </w:tc>
      </w:tr>
      <w:tr w:rsidR="00182B25" w14:paraId="54DF7958" w14:textId="77777777">
        <w:trPr>
          <w:jc w:val="center"/>
        </w:trPr>
        <w:tc>
          <w:tcPr>
            <w:tcW w:w="2592" w:type="dxa"/>
            <w:tcBorders>
              <w:bottom w:val="single" w:sz="4" w:space="0" w:color="D3D3D3"/>
            </w:tcBorders>
          </w:tcPr>
          <w:p w14:paraId="41DECD3F" w14:textId="77777777" w:rsidR="00182B25" w:rsidRDefault="00CF30F9">
            <w:pPr>
              <w:spacing w:after="80" w:line="276" w:lineRule="auto"/>
            </w:pPr>
            <w:r>
              <w:rPr>
                <w:sz w:val="19"/>
              </w:rPr>
              <w:t>1. AI Error &amp; Incident Reduction</w:t>
            </w:r>
          </w:p>
        </w:tc>
        <w:tc>
          <w:tcPr>
            <w:tcW w:w="2160" w:type="dxa"/>
            <w:tcBorders>
              <w:bottom w:val="single" w:sz="4" w:space="0" w:color="D3D3D3"/>
            </w:tcBorders>
          </w:tcPr>
          <w:p w14:paraId="1B74B50B" w14:textId="77777777" w:rsidR="00182B25" w:rsidRDefault="00CF30F9">
            <w:pPr>
              <w:spacing w:after="80" w:line="276" w:lineRule="auto"/>
            </w:pPr>
            <w:r>
              <w:rPr>
                <w:b/>
                <w:sz w:val="19"/>
              </w:rPr>
              <w:t>$100B – $200B savings</w:t>
            </w:r>
          </w:p>
        </w:tc>
        <w:tc>
          <w:tcPr>
            <w:tcW w:w="4608" w:type="dxa"/>
            <w:tcBorders>
              <w:bottom w:val="single" w:sz="4" w:space="0" w:color="D3D3D3"/>
            </w:tcBorders>
          </w:tcPr>
          <w:p w14:paraId="67522197" w14:textId="77777777" w:rsidR="00182B25" w:rsidRDefault="00CF30F9">
            <w:pPr>
              <w:spacing w:after="80" w:line="276" w:lineRule="auto"/>
            </w:pPr>
            <w:r>
              <w:rPr>
                <w:sz w:val="19"/>
              </w:rPr>
              <w:t>HSF suppresses generation hallucinations at runtime; HNS-36 prevents multi-turn contextual drift anomalies.</w:t>
            </w:r>
          </w:p>
        </w:tc>
      </w:tr>
      <w:tr w:rsidR="00182B25" w14:paraId="65002722" w14:textId="77777777">
        <w:trPr>
          <w:jc w:val="center"/>
        </w:trPr>
        <w:tc>
          <w:tcPr>
            <w:tcW w:w="2592" w:type="dxa"/>
            <w:tcBorders>
              <w:bottom w:val="single" w:sz="4" w:space="0" w:color="D3D3D3"/>
            </w:tcBorders>
            <w:shd w:val="clear" w:color="auto" w:fill="F4F6F8"/>
          </w:tcPr>
          <w:p w14:paraId="1C3EF67E" w14:textId="77777777" w:rsidR="00182B25" w:rsidRDefault="00CF30F9">
            <w:pPr>
              <w:spacing w:after="80" w:line="276" w:lineRule="auto"/>
            </w:pPr>
            <w:r>
              <w:rPr>
                <w:sz w:val="19"/>
              </w:rPr>
              <w:t>2. Explainability &amp; Audit Optimization</w:t>
            </w:r>
          </w:p>
        </w:tc>
        <w:tc>
          <w:tcPr>
            <w:tcW w:w="2160" w:type="dxa"/>
            <w:tcBorders>
              <w:bottom w:val="single" w:sz="4" w:space="0" w:color="D3D3D3"/>
            </w:tcBorders>
            <w:shd w:val="clear" w:color="auto" w:fill="F4F6F8"/>
          </w:tcPr>
          <w:p w14:paraId="36830B3A" w14:textId="77777777" w:rsidR="00182B25" w:rsidRDefault="00CF30F9">
            <w:pPr>
              <w:spacing w:after="80" w:line="276" w:lineRule="auto"/>
            </w:pPr>
            <w:r>
              <w:rPr>
                <w:b/>
                <w:sz w:val="19"/>
              </w:rPr>
              <w:t>$50B – $90B savings</w:t>
            </w:r>
          </w:p>
        </w:tc>
        <w:tc>
          <w:tcPr>
            <w:tcW w:w="4608" w:type="dxa"/>
            <w:tcBorders>
              <w:bottom w:val="single" w:sz="4" w:space="0" w:color="D3D3D3"/>
            </w:tcBorders>
            <w:shd w:val="clear" w:color="auto" w:fill="F4F6F8"/>
          </w:tcPr>
          <w:p w14:paraId="5C528689" w14:textId="77777777" w:rsidR="00182B25" w:rsidRDefault="00CF30F9">
            <w:pPr>
              <w:spacing w:after="80" w:line="276" w:lineRule="auto"/>
            </w:pPr>
            <w:r>
              <w:rPr>
                <w:sz w:val="19"/>
              </w:rPr>
              <w:t>SOHU maps internal model activations into legible coordinate logs; EVA automates external audit proof trails.</w:t>
            </w:r>
          </w:p>
        </w:tc>
      </w:tr>
      <w:tr w:rsidR="00182B25" w14:paraId="1E70FAED" w14:textId="77777777">
        <w:trPr>
          <w:jc w:val="center"/>
        </w:trPr>
        <w:tc>
          <w:tcPr>
            <w:tcW w:w="2592" w:type="dxa"/>
            <w:tcBorders>
              <w:bottom w:val="single" w:sz="4" w:space="0" w:color="D3D3D3"/>
            </w:tcBorders>
          </w:tcPr>
          <w:p w14:paraId="51EA3CBC" w14:textId="77777777" w:rsidR="00182B25" w:rsidRDefault="00CF30F9">
            <w:pPr>
              <w:spacing w:after="80" w:line="276" w:lineRule="auto"/>
            </w:pPr>
            <w:r>
              <w:rPr>
                <w:sz w:val="19"/>
              </w:rPr>
              <w:t>3. Knowledge Management Efficiency</w:t>
            </w:r>
          </w:p>
        </w:tc>
        <w:tc>
          <w:tcPr>
            <w:tcW w:w="2160" w:type="dxa"/>
            <w:tcBorders>
              <w:bottom w:val="single" w:sz="4" w:space="0" w:color="D3D3D3"/>
            </w:tcBorders>
          </w:tcPr>
          <w:p w14:paraId="2228DC07" w14:textId="77777777" w:rsidR="00182B25" w:rsidRDefault="00CF30F9">
            <w:pPr>
              <w:spacing w:after="80" w:line="276" w:lineRule="auto"/>
            </w:pPr>
            <w:r>
              <w:rPr>
                <w:b/>
                <w:sz w:val="19"/>
              </w:rPr>
              <w:t>$600B – $1.2T value creation</w:t>
            </w:r>
          </w:p>
        </w:tc>
        <w:tc>
          <w:tcPr>
            <w:tcW w:w="4608" w:type="dxa"/>
            <w:tcBorders>
              <w:bottom w:val="single" w:sz="4" w:space="0" w:color="D3D3D3"/>
            </w:tcBorders>
          </w:tcPr>
          <w:p w14:paraId="148DC952" w14:textId="77777777" w:rsidR="00182B25" w:rsidRDefault="00CF30F9">
            <w:pPr>
              <w:spacing w:after="80" w:line="276" w:lineRule="auto"/>
            </w:pPr>
            <w:r>
              <w:rPr>
                <w:sz w:val="19"/>
              </w:rPr>
              <w:t>SOHU projects multi-source unstructured corporate documents onto unified semantic coordinate schemas.</w:t>
            </w:r>
          </w:p>
        </w:tc>
      </w:tr>
      <w:tr w:rsidR="00182B25" w14:paraId="3370F200" w14:textId="77777777">
        <w:trPr>
          <w:jc w:val="center"/>
        </w:trPr>
        <w:tc>
          <w:tcPr>
            <w:tcW w:w="2592" w:type="dxa"/>
            <w:tcBorders>
              <w:bottom w:val="single" w:sz="4" w:space="0" w:color="D3D3D3"/>
            </w:tcBorders>
            <w:shd w:val="clear" w:color="auto" w:fill="F4F6F8"/>
          </w:tcPr>
          <w:p w14:paraId="6F57090C" w14:textId="77777777" w:rsidR="00182B25" w:rsidRDefault="00CF30F9">
            <w:pPr>
              <w:spacing w:after="80" w:line="276" w:lineRule="auto"/>
            </w:pPr>
            <w:r>
              <w:rPr>
                <w:sz w:val="19"/>
              </w:rPr>
              <w:t>4. Regulatory Compliance Reduction</w:t>
            </w:r>
          </w:p>
        </w:tc>
        <w:tc>
          <w:tcPr>
            <w:tcW w:w="2160" w:type="dxa"/>
            <w:tcBorders>
              <w:bottom w:val="single" w:sz="4" w:space="0" w:color="D3D3D3"/>
            </w:tcBorders>
            <w:shd w:val="clear" w:color="auto" w:fill="F4F6F8"/>
          </w:tcPr>
          <w:p w14:paraId="7902FEFA" w14:textId="77777777" w:rsidR="00182B25" w:rsidRDefault="00CF30F9">
            <w:pPr>
              <w:spacing w:after="80" w:line="276" w:lineRule="auto"/>
            </w:pPr>
            <w:r>
              <w:rPr>
                <w:b/>
                <w:sz w:val="19"/>
              </w:rPr>
              <w:t>€15B – €30B savings</w:t>
            </w:r>
          </w:p>
        </w:tc>
        <w:tc>
          <w:tcPr>
            <w:tcW w:w="4608" w:type="dxa"/>
            <w:tcBorders>
              <w:bottom w:val="single" w:sz="4" w:space="0" w:color="D3D3D3"/>
            </w:tcBorders>
            <w:shd w:val="clear" w:color="auto" w:fill="F4F6F8"/>
          </w:tcPr>
          <w:p w14:paraId="02FCB323" w14:textId="77777777" w:rsidR="00182B25" w:rsidRDefault="00CF30F9">
            <w:pPr>
              <w:spacing w:after="80" w:line="276" w:lineRule="auto"/>
            </w:pPr>
            <w:r>
              <w:rPr>
                <w:sz w:val="19"/>
              </w:rPr>
              <w:t>EVA acts as a standardized, model-agnostic checksum for EU AI Act High-Risk system conformance assessments.</w:t>
            </w:r>
          </w:p>
        </w:tc>
      </w:tr>
      <w:tr w:rsidR="00182B25" w14:paraId="2C92AFB7" w14:textId="77777777">
        <w:trPr>
          <w:jc w:val="center"/>
        </w:trPr>
        <w:tc>
          <w:tcPr>
            <w:tcW w:w="2592" w:type="dxa"/>
            <w:tcBorders>
              <w:bottom w:val="single" w:sz="4" w:space="0" w:color="D3D3D3"/>
            </w:tcBorders>
          </w:tcPr>
          <w:p w14:paraId="0F00AAE5" w14:textId="77777777" w:rsidR="00182B25" w:rsidRDefault="00CF30F9">
            <w:pPr>
              <w:spacing w:after="80" w:line="276" w:lineRule="auto"/>
            </w:pPr>
            <w:r>
              <w:rPr>
                <w:sz w:val="19"/>
              </w:rPr>
              <w:t>5. Cross-Industry Productivity Uplift</w:t>
            </w:r>
          </w:p>
        </w:tc>
        <w:tc>
          <w:tcPr>
            <w:tcW w:w="2160" w:type="dxa"/>
            <w:tcBorders>
              <w:bottom w:val="single" w:sz="4" w:space="0" w:color="D3D3D3"/>
            </w:tcBorders>
          </w:tcPr>
          <w:p w14:paraId="27A8C2D9" w14:textId="77777777" w:rsidR="00182B25" w:rsidRDefault="00CF30F9">
            <w:pPr>
              <w:spacing w:after="80" w:line="276" w:lineRule="auto"/>
            </w:pPr>
            <w:r>
              <w:rPr>
                <w:b/>
                <w:sz w:val="19"/>
              </w:rPr>
              <w:t>$1T – $2T value creation</w:t>
            </w:r>
          </w:p>
        </w:tc>
        <w:tc>
          <w:tcPr>
            <w:tcW w:w="4608" w:type="dxa"/>
            <w:tcBorders>
              <w:bottom w:val="single" w:sz="4" w:space="0" w:color="D3D3D3"/>
            </w:tcBorders>
          </w:tcPr>
          <w:p w14:paraId="1047C664" w14:textId="77777777" w:rsidR="00182B25" w:rsidRDefault="00CF30F9">
            <w:pPr>
              <w:spacing w:after="80" w:line="276" w:lineRule="auto"/>
            </w:pPr>
            <w:r>
              <w:rPr>
                <w:sz w:val="19"/>
              </w:rPr>
              <w:t>Establishes a uniform semantic OS layer across multi-agent networks, decreasing deployment friction cycles.</w:t>
            </w:r>
          </w:p>
        </w:tc>
      </w:tr>
    </w:tbl>
    <w:p w14:paraId="126BBA9A" w14:textId="77777777" w:rsidR="00182B25" w:rsidRDefault="00182B25">
      <w:pPr>
        <w:spacing w:before="160"/>
      </w:pPr>
    </w:p>
    <w:p w14:paraId="49E2657C" w14:textId="77777777" w:rsidR="00182B25" w:rsidRDefault="00CF30F9">
      <w:pPr>
        <w:keepNext/>
        <w:spacing w:before="280" w:after="120"/>
      </w:pPr>
      <w:r>
        <w:rPr>
          <w:b/>
          <w:color w:val="5C768D"/>
          <w:sz w:val="24"/>
        </w:rPr>
        <w:t>2.1 AI Operational Error and Incident Cost Reduction (Projected 30–50% Reduction)</w:t>
      </w:r>
    </w:p>
    <w:p w14:paraId="0D5C2117" w14:textId="77777777" w:rsidR="00182B25" w:rsidRDefault="00CF30F9">
      <w:r>
        <w:t>Statistical exceptions, bias propagation, and contextual collapse within deep learning networks currently drain hundreds of billions of dollars out of capital markets annually via operational downtime, faulty high-frequency transactions, and liability lawsuits. HNS intercepts these failure vectors at the inference layer through three primary control points:</w:t>
      </w:r>
    </w:p>
    <w:p w14:paraId="226E1712" w14:textId="77777777" w:rsidR="00182B25" w:rsidRDefault="00CF30F9">
      <w:pPr>
        <w:pStyle w:val="a0"/>
      </w:pPr>
      <w:r>
        <w:t>HNS-36 Core Constraints: Bounds multi-turn automated reasoning sequences, preventing the accumulation of errors that lead to catastrophic edge-case misjudgments.</w:t>
      </w:r>
    </w:p>
    <w:p w14:paraId="7477CB5A" w14:textId="77777777" w:rsidR="00182B25" w:rsidRDefault="00CF30F9">
      <w:pPr>
        <w:pStyle w:val="a0"/>
      </w:pPr>
      <w:r>
        <w:t>HSF Coherence Feedback Loop: Evaluates token probability strings against semantic primitives, actively suppressing hallucinations before user execution.</w:t>
      </w:r>
    </w:p>
    <w:p w14:paraId="32C13647" w14:textId="77777777" w:rsidR="00182B25" w:rsidRDefault="00CF30F9">
      <w:pPr>
        <w:pStyle w:val="a0"/>
      </w:pPr>
      <w:r>
        <w:t>EVA Independent Boundary Layer: Functions as an external software kill-switch and rollback trigger, stopping unaligned autonomous operations instantly.</w:t>
      </w:r>
    </w:p>
    <w:p w14:paraId="394C21ED" w14:textId="77777777" w:rsidR="00182B25" w:rsidRDefault="00CF30F9">
      <w:r>
        <w:t>By enforcing these strict bounds, HNS saves the global economy between $100 Billion and $200 Billion per annum. Secondary impacts include a massive contraction in medical misdiagnosis costs, significantly lowered high-frequency algorithmic fraud vectors, and minimized insurance premiums for corporate autonomous systems.</w:t>
      </w:r>
    </w:p>
    <w:p w14:paraId="38BE5CA9" w14:textId="77777777" w:rsidR="00182B25" w:rsidRDefault="00CF30F9">
      <w:pPr>
        <w:keepNext/>
        <w:spacing w:before="280" w:after="120"/>
      </w:pPr>
      <w:r>
        <w:rPr>
          <w:b/>
          <w:color w:val="5C768D"/>
          <w:sz w:val="24"/>
        </w:rPr>
        <w:t>2.2 Explainability &amp; Audit Cost Optimization (Projected 40–70% Reduction)</w:t>
      </w:r>
    </w:p>
    <w:p w14:paraId="79F597E2" w14:textId="77777777" w:rsidR="00182B25" w:rsidRDefault="00CF30F9">
      <w:r>
        <w:t>Under newly codified global frameworks (e.g., EU AI Act Chapter III Section 3, NIST AI RMF MEASURE function), post-hoc explanation engineering has become an expensive corporate necessity. HNS mitigates this financial overhead by natively mapping structural coordinates:</w:t>
      </w:r>
    </w:p>
    <w:p w14:paraId="5DD0A6CC" w14:textId="77777777" w:rsidR="00182B25" w:rsidRDefault="00CF30F9">
      <w:pPr>
        <w:pStyle w:val="a0"/>
      </w:pPr>
      <w:r>
        <w:t>SOHU Structural Ingestion: Automates the real-time translation of complex mathematical model behaviors into transparent semantic log files.</w:t>
      </w:r>
    </w:p>
    <w:p w14:paraId="289BB6F4" w14:textId="77777777" w:rsidR="00182B25" w:rsidRDefault="00CF30F9">
      <w:pPr>
        <w:pStyle w:val="a0"/>
      </w:pPr>
      <w:r>
        <w:t>HNS-36 Traceable Core: Anchors the dynamic reasoning path of automated systems to legible cognitive primitives.</w:t>
      </w:r>
    </w:p>
    <w:p w14:paraId="78C6761E" w14:textId="77777777" w:rsidR="00182B25" w:rsidRDefault="00CF30F9">
      <w:pPr>
        <w:pStyle w:val="a0"/>
      </w:pPr>
      <w:r>
        <w:lastRenderedPageBreak/>
        <w:t>EVA Automated Auditing: Automatically formats verification logs to be immediately submission-ready for external statutory bodies.</w:t>
      </w:r>
    </w:p>
    <w:p w14:paraId="70AE680A" w14:textId="77777777" w:rsidR="00182B25" w:rsidRDefault="00CF30F9">
      <w:r>
        <w:t>This architectural standardization reduces annual compliance costs by $50 Billion to $90 Billion globally, accelerating time-to-market approvals, lowering legal review timelines, and providing a unified audit infrastructure across disparate model versions.</w:t>
      </w:r>
    </w:p>
    <w:p w14:paraId="6DDA2D4F" w14:textId="77777777" w:rsidR="00182B25" w:rsidRDefault="00CF30F9">
      <w:pPr>
        <w:keepNext/>
        <w:spacing w:before="280" w:after="120"/>
      </w:pPr>
      <w:r>
        <w:rPr>
          <w:b/>
          <w:color w:val="5C768D"/>
          <w:sz w:val="24"/>
        </w:rPr>
        <w:t>2.3 Enterprise Knowledge Management Efficiency Gains (Projected 20–40% Productivity Uplift)</w:t>
      </w:r>
    </w:p>
    <w:p w14:paraId="66091C45" w14:textId="77777777" w:rsidR="00182B25" w:rsidRDefault="00CF30F9">
      <w:r>
        <w:t>The annual maintenance cost of unstructured corporate databases, fragmented document indices, and internal knowledge retention platforms exceeds $3 Trillion globally. By organizing institutional data through multi-dimensional coordinates rather than simple keyword vector embeddings, HNS transforms enterprise search:</w:t>
      </w:r>
    </w:p>
    <w:p w14:paraId="068E648D" w14:textId="77777777" w:rsidR="00182B25" w:rsidRDefault="00CF30F9">
      <w:pPr>
        <w:pStyle w:val="a0"/>
      </w:pPr>
      <w:r>
        <w:t>SOHU Matrix Projection: Assigns invariant semantic coordinates to disparate corporate knowledge assets, eliminating vector duplication.</w:t>
      </w:r>
    </w:p>
    <w:p w14:paraId="1FB434C4" w14:textId="77777777" w:rsidR="00182B25" w:rsidRDefault="00CF30F9">
      <w:pPr>
        <w:pStyle w:val="a0"/>
      </w:pPr>
      <w:r>
        <w:t>HNS-36 Contextual Anchoring: Structures institutional rules, historical parameters, and legal guidelines to ensure error-free information retrieval.</w:t>
      </w:r>
    </w:p>
    <w:p w14:paraId="5F58F7E0" w14:textId="77777777" w:rsidR="00182B25" w:rsidRDefault="00CF30F9">
      <w:pPr>
        <w:pStyle w:val="a0"/>
      </w:pPr>
      <w:r>
        <w:t>HSF Coherence Auditing: Automatically flags conflicting internal documentation, ensuring structural data hygiene across departments.</w:t>
      </w:r>
    </w:p>
    <w:p w14:paraId="732A40D0" w14:textId="77777777" w:rsidR="00182B25" w:rsidRDefault="00CF30F9">
      <w:r>
        <w:t>This optimization generates an estimated global value creation of $600 Billion to $1.2 Trillion annually, completely transforming workforce onboarding speeds, reducing operational duplication, and upgrading corporate executive decision quality.</w:t>
      </w:r>
    </w:p>
    <w:p w14:paraId="37054FBE" w14:textId="77777777" w:rsidR="00182B25" w:rsidRDefault="00CF30F9">
      <w:pPr>
        <w:keepNext/>
        <w:spacing w:before="280" w:after="120"/>
      </w:pPr>
      <w:r>
        <w:rPr>
          <w:b/>
          <w:color w:val="5C768D"/>
          <w:sz w:val="24"/>
        </w:rPr>
        <w:t>2.4 Global Regulatory Compliance Optimization (Projected 50–80% Reduction)</w:t>
      </w:r>
    </w:p>
    <w:p w14:paraId="61D10051" w14:textId="77777777" w:rsidR="00182B25" w:rsidRDefault="00CF30F9">
      <w:r>
        <w:t>Comprehensive implementation of the European Union Artificial Intelligence Act alone mandates an estimated compliance cost burden of €30 Billion to €50 Billion annually for global enterprises. HNS serves as a plug-and-play regulatory abstraction layer:</w:t>
      </w:r>
    </w:p>
    <w:p w14:paraId="2A060A87" w14:textId="77777777" w:rsidR="00182B25" w:rsidRDefault="00CF30F9">
      <w:pPr>
        <w:pStyle w:val="a0"/>
      </w:pPr>
      <w:r>
        <w:t>EVA External Standardization: Standardizes high-risk system alignment evaluations, mapping model compliance parameters to Article 14 (Human Oversight) and Article 13 (Transparency) targets.</w:t>
      </w:r>
    </w:p>
    <w:p w14:paraId="44CEB47C" w14:textId="77777777" w:rsidR="00182B25" w:rsidRDefault="00CF30F9">
      <w:pPr>
        <w:pStyle w:val="a0"/>
      </w:pPr>
      <w:r>
        <w:t>SOHU Automated Documentation: Programmatically compiles system architecture records and data provenance logs required for Article 11 technical documentation sheets.</w:t>
      </w:r>
    </w:p>
    <w:p w14:paraId="48EED1E9" w14:textId="77777777" w:rsidR="00182B25" w:rsidRDefault="00CF30F9">
      <w:pPr>
        <w:pStyle w:val="a0"/>
      </w:pPr>
      <w:r>
        <w:t>HNS-36 Risk Containment: Provides clear, mathematical proof of systemic safety, reducing the frequency and duration of expensive manual regulatory audits.</w:t>
      </w:r>
    </w:p>
    <w:p w14:paraId="0CF7C1D2" w14:textId="77777777" w:rsidR="00182B25" w:rsidRDefault="00CF30F9">
      <w:r>
        <w:t>The resulting operational streamlining translates to direct global cost savings of €15 Billion to €30 Billion per year, effectively shielding early-stage AI innovators from prohibitive legal penalties.</w:t>
      </w:r>
    </w:p>
    <w:p w14:paraId="17D35787" w14:textId="77777777" w:rsidR="00182B25" w:rsidRDefault="00CF30F9">
      <w:pPr>
        <w:keepNext/>
        <w:spacing w:before="280" w:after="120"/>
      </w:pPr>
      <w:r>
        <w:rPr>
          <w:b/>
          <w:color w:val="5C768D"/>
          <w:sz w:val="24"/>
        </w:rPr>
        <w:t>2.5 Cross-Industry Multifactor Productivity Uplift (Projected 5–15% Macro Improvement)</w:t>
      </w:r>
    </w:p>
    <w:p w14:paraId="21D19F66" w14:textId="77777777" w:rsidR="00182B25" w:rsidRDefault="00CF30F9">
      <w:r>
        <w:t xml:space="preserve">Because HNS operates strictly as an abstract, model-agnostic layer, its economic returns compound exponentially across all intersecting industry sectors. By standardizing communication protocols </w:t>
      </w:r>
      <w:r>
        <w:lastRenderedPageBreak/>
        <w:t>across heterogenous multi-agent systems and eliminating inter-model semantic friction, HNS generates an aggregate value creation between $1 Trillion and $2 Trillion annually. This systemic uplift drastically accelerates autonomous agent deployment schedules, fosters high-level consumer trust, and removes operational boundaries from human-AI collaborative workflows.</w:t>
      </w:r>
    </w:p>
    <w:p w14:paraId="01DCDF3B" w14:textId="77777777" w:rsidR="00182B25" w:rsidRDefault="00CF30F9">
      <w:pPr>
        <w:keepNext/>
        <w:spacing w:before="440" w:after="200"/>
      </w:pPr>
      <w:r>
        <w:rPr>
          <w:b/>
          <w:color w:val="1B365D"/>
          <w:sz w:val="28"/>
        </w:rPr>
        <w:t>3. Industry-Specific Economic Impact</w:t>
      </w:r>
    </w:p>
    <w:p w14:paraId="116C7F60" w14:textId="77777777" w:rsidR="00182B25" w:rsidRDefault="00CF30F9">
      <w:r>
        <w:t>The integration of the HNS Structural Intelligence Layer drives concrete financial returns across key economic verticals. Below is an expanded analysis of localized value creation:</w:t>
      </w:r>
    </w:p>
    <w:tbl>
      <w:tblPr>
        <w:tblW w:w="0" w:type="auto"/>
        <w:jc w:val="center"/>
        <w:tblLook w:val="04A0" w:firstRow="1" w:lastRow="0" w:firstColumn="1" w:lastColumn="0" w:noHBand="0" w:noVBand="1"/>
      </w:tblPr>
      <w:tblGrid>
        <w:gridCol w:w="2567"/>
        <w:gridCol w:w="2136"/>
        <w:gridCol w:w="4542"/>
      </w:tblGrid>
      <w:tr w:rsidR="00182B25" w14:paraId="493AAFC5" w14:textId="77777777">
        <w:trPr>
          <w:jc w:val="center"/>
        </w:trPr>
        <w:tc>
          <w:tcPr>
            <w:tcW w:w="2592" w:type="dxa"/>
            <w:tcBorders>
              <w:bottom w:val="single" w:sz="4" w:space="0" w:color="D3D3D3"/>
            </w:tcBorders>
            <w:shd w:val="clear" w:color="auto" w:fill="1B365D"/>
          </w:tcPr>
          <w:p w14:paraId="0A5F4E69" w14:textId="77777777" w:rsidR="00182B25" w:rsidRDefault="00CF30F9">
            <w:r>
              <w:rPr>
                <w:b/>
                <w:color w:val="FFFFFF"/>
                <w:sz w:val="20"/>
              </w:rPr>
              <w:t>Target Vertical Industry</w:t>
            </w:r>
          </w:p>
        </w:tc>
        <w:tc>
          <w:tcPr>
            <w:tcW w:w="2160" w:type="dxa"/>
            <w:tcBorders>
              <w:bottom w:val="single" w:sz="4" w:space="0" w:color="D3D3D3"/>
            </w:tcBorders>
            <w:shd w:val="clear" w:color="auto" w:fill="1B365D"/>
          </w:tcPr>
          <w:p w14:paraId="054FD609" w14:textId="77777777" w:rsidR="00182B25" w:rsidRDefault="00CF30F9">
            <w:r>
              <w:rPr>
                <w:b/>
                <w:color w:val="FFFFFF"/>
                <w:sz w:val="20"/>
              </w:rPr>
              <w:t>Annual Value Creation</w:t>
            </w:r>
          </w:p>
        </w:tc>
        <w:tc>
          <w:tcPr>
            <w:tcW w:w="4608" w:type="dxa"/>
            <w:tcBorders>
              <w:bottom w:val="single" w:sz="4" w:space="0" w:color="D3D3D3"/>
            </w:tcBorders>
            <w:shd w:val="clear" w:color="auto" w:fill="1B365D"/>
          </w:tcPr>
          <w:p w14:paraId="62D2BA1C" w14:textId="77777777" w:rsidR="00182B25" w:rsidRDefault="00CF30F9">
            <w:r>
              <w:rPr>
                <w:b/>
                <w:color w:val="FFFFFF"/>
                <w:sz w:val="20"/>
              </w:rPr>
              <w:t>Primary Localized HNS Optimization Target</w:t>
            </w:r>
          </w:p>
        </w:tc>
      </w:tr>
      <w:tr w:rsidR="00182B25" w14:paraId="2B8FA658" w14:textId="77777777">
        <w:trPr>
          <w:jc w:val="center"/>
        </w:trPr>
        <w:tc>
          <w:tcPr>
            <w:tcW w:w="2592" w:type="dxa"/>
            <w:tcBorders>
              <w:bottom w:val="single" w:sz="4" w:space="0" w:color="D3D3D3"/>
            </w:tcBorders>
          </w:tcPr>
          <w:p w14:paraId="6B75EC1C" w14:textId="77777777" w:rsidR="00182B25" w:rsidRDefault="00CF30F9">
            <w:pPr>
              <w:spacing w:after="80" w:line="276" w:lineRule="auto"/>
            </w:pPr>
            <w:r>
              <w:rPr>
                <w:sz w:val="19"/>
              </w:rPr>
              <w:t>Healthcare &amp; Lifesciences</w:t>
            </w:r>
          </w:p>
        </w:tc>
        <w:tc>
          <w:tcPr>
            <w:tcW w:w="2160" w:type="dxa"/>
            <w:tcBorders>
              <w:bottom w:val="single" w:sz="4" w:space="0" w:color="D3D3D3"/>
            </w:tcBorders>
          </w:tcPr>
          <w:p w14:paraId="25EFDC52" w14:textId="77777777" w:rsidR="00182B25" w:rsidRDefault="00CF30F9">
            <w:pPr>
              <w:spacing w:after="80" w:line="276" w:lineRule="auto"/>
            </w:pPr>
            <w:r>
              <w:rPr>
                <w:b/>
                <w:sz w:val="19"/>
              </w:rPr>
              <w:t>$200B – $400B / year</w:t>
            </w:r>
          </w:p>
        </w:tc>
        <w:tc>
          <w:tcPr>
            <w:tcW w:w="4608" w:type="dxa"/>
            <w:tcBorders>
              <w:bottom w:val="single" w:sz="4" w:space="0" w:color="D3D3D3"/>
            </w:tcBorders>
          </w:tcPr>
          <w:p w14:paraId="7DE3E9DC" w14:textId="77777777" w:rsidR="00182B25" w:rsidRDefault="00CF30F9">
            <w:pPr>
              <w:spacing w:after="80" w:line="276" w:lineRule="auto"/>
            </w:pPr>
            <w:r>
              <w:rPr>
                <w:sz w:val="19"/>
              </w:rPr>
              <w:t>Optimizes clinical diagnostic accuracy, guarantees non-hallucinatory patient logs via HSF, and automates EU AI Act conformity approvals.</w:t>
            </w:r>
          </w:p>
        </w:tc>
      </w:tr>
      <w:tr w:rsidR="00182B25" w14:paraId="62AB909D" w14:textId="77777777">
        <w:trPr>
          <w:jc w:val="center"/>
        </w:trPr>
        <w:tc>
          <w:tcPr>
            <w:tcW w:w="2592" w:type="dxa"/>
            <w:tcBorders>
              <w:bottom w:val="single" w:sz="4" w:space="0" w:color="D3D3D3"/>
            </w:tcBorders>
            <w:shd w:val="clear" w:color="auto" w:fill="F4F6F8"/>
          </w:tcPr>
          <w:p w14:paraId="40ED368A" w14:textId="77777777" w:rsidR="00182B25" w:rsidRDefault="00CF30F9">
            <w:pPr>
              <w:spacing w:after="80" w:line="276" w:lineRule="auto"/>
            </w:pPr>
            <w:r>
              <w:rPr>
                <w:sz w:val="19"/>
              </w:rPr>
              <w:t>Banking &amp; Finance</w:t>
            </w:r>
          </w:p>
        </w:tc>
        <w:tc>
          <w:tcPr>
            <w:tcW w:w="2160" w:type="dxa"/>
            <w:tcBorders>
              <w:bottom w:val="single" w:sz="4" w:space="0" w:color="D3D3D3"/>
            </w:tcBorders>
            <w:shd w:val="clear" w:color="auto" w:fill="F4F6F8"/>
          </w:tcPr>
          <w:p w14:paraId="67522B4A" w14:textId="77777777" w:rsidR="00182B25" w:rsidRDefault="00CF30F9">
            <w:pPr>
              <w:spacing w:after="80" w:line="276" w:lineRule="auto"/>
            </w:pPr>
            <w:r>
              <w:rPr>
                <w:b/>
                <w:sz w:val="19"/>
              </w:rPr>
              <w:t>$100B – $200B / year</w:t>
            </w:r>
          </w:p>
        </w:tc>
        <w:tc>
          <w:tcPr>
            <w:tcW w:w="4608" w:type="dxa"/>
            <w:tcBorders>
              <w:bottom w:val="single" w:sz="4" w:space="0" w:color="D3D3D3"/>
            </w:tcBorders>
            <w:shd w:val="clear" w:color="auto" w:fill="F4F6F8"/>
          </w:tcPr>
          <w:p w14:paraId="5653A9F2" w14:textId="77777777" w:rsidR="00182B25" w:rsidRDefault="00CF30F9">
            <w:pPr>
              <w:spacing w:after="80" w:line="276" w:lineRule="auto"/>
            </w:pPr>
            <w:r>
              <w:rPr>
                <w:sz w:val="19"/>
              </w:rPr>
              <w:t>Secures complete algorithmic credit underwriting fairness, maps complex macro risk structures, and simplifies regulatory compliance.</w:t>
            </w:r>
          </w:p>
        </w:tc>
      </w:tr>
      <w:tr w:rsidR="00182B25" w14:paraId="4AD71858" w14:textId="77777777">
        <w:trPr>
          <w:jc w:val="center"/>
        </w:trPr>
        <w:tc>
          <w:tcPr>
            <w:tcW w:w="2592" w:type="dxa"/>
            <w:tcBorders>
              <w:bottom w:val="single" w:sz="4" w:space="0" w:color="D3D3D3"/>
            </w:tcBorders>
          </w:tcPr>
          <w:p w14:paraId="6AD7BFDC" w14:textId="77777777" w:rsidR="00182B25" w:rsidRDefault="00CF30F9">
            <w:pPr>
              <w:spacing w:after="80" w:line="276" w:lineRule="auto"/>
            </w:pPr>
            <w:r>
              <w:rPr>
                <w:sz w:val="19"/>
              </w:rPr>
              <w:t>Government &amp; Public Sector</w:t>
            </w:r>
          </w:p>
        </w:tc>
        <w:tc>
          <w:tcPr>
            <w:tcW w:w="2160" w:type="dxa"/>
            <w:tcBorders>
              <w:bottom w:val="single" w:sz="4" w:space="0" w:color="D3D3D3"/>
            </w:tcBorders>
          </w:tcPr>
          <w:p w14:paraId="71E8392E" w14:textId="77777777" w:rsidR="00182B25" w:rsidRDefault="00CF30F9">
            <w:pPr>
              <w:spacing w:after="80" w:line="276" w:lineRule="auto"/>
            </w:pPr>
            <w:r>
              <w:rPr>
                <w:b/>
                <w:sz w:val="19"/>
              </w:rPr>
              <w:t>$50B – $100B / year</w:t>
            </w:r>
          </w:p>
        </w:tc>
        <w:tc>
          <w:tcPr>
            <w:tcW w:w="4608" w:type="dxa"/>
            <w:tcBorders>
              <w:bottom w:val="single" w:sz="4" w:space="0" w:color="D3D3D3"/>
            </w:tcBorders>
          </w:tcPr>
          <w:p w14:paraId="74E68707" w14:textId="77777777" w:rsidR="00182B25" w:rsidRDefault="00CF30F9">
            <w:pPr>
              <w:spacing w:after="80" w:line="276" w:lineRule="auto"/>
            </w:pPr>
            <w:r>
              <w:rPr>
                <w:sz w:val="19"/>
              </w:rPr>
              <w:t>Provides auditable, bias-free social resource distribution models and safeguards democratic transparency benchmarks.</w:t>
            </w:r>
          </w:p>
        </w:tc>
      </w:tr>
      <w:tr w:rsidR="00182B25" w14:paraId="3C2F95C9" w14:textId="77777777">
        <w:trPr>
          <w:jc w:val="center"/>
        </w:trPr>
        <w:tc>
          <w:tcPr>
            <w:tcW w:w="2592" w:type="dxa"/>
            <w:tcBorders>
              <w:bottom w:val="single" w:sz="4" w:space="0" w:color="D3D3D3"/>
            </w:tcBorders>
            <w:shd w:val="clear" w:color="auto" w:fill="F4F6F8"/>
          </w:tcPr>
          <w:p w14:paraId="38CDCB1A" w14:textId="77777777" w:rsidR="00182B25" w:rsidRDefault="00CF30F9">
            <w:pPr>
              <w:spacing w:after="80" w:line="276" w:lineRule="auto"/>
            </w:pPr>
            <w:r>
              <w:rPr>
                <w:sz w:val="19"/>
              </w:rPr>
              <w:t>Education &amp; Academia</w:t>
            </w:r>
          </w:p>
        </w:tc>
        <w:tc>
          <w:tcPr>
            <w:tcW w:w="2160" w:type="dxa"/>
            <w:tcBorders>
              <w:bottom w:val="single" w:sz="4" w:space="0" w:color="D3D3D3"/>
            </w:tcBorders>
            <w:shd w:val="clear" w:color="auto" w:fill="F4F6F8"/>
          </w:tcPr>
          <w:p w14:paraId="49F563D6" w14:textId="77777777" w:rsidR="00182B25" w:rsidRDefault="00CF30F9">
            <w:pPr>
              <w:spacing w:after="80" w:line="276" w:lineRule="auto"/>
            </w:pPr>
            <w:r>
              <w:rPr>
                <w:b/>
                <w:sz w:val="19"/>
              </w:rPr>
              <w:t>$30B – $70B / year</w:t>
            </w:r>
          </w:p>
        </w:tc>
        <w:tc>
          <w:tcPr>
            <w:tcW w:w="4608" w:type="dxa"/>
            <w:tcBorders>
              <w:bottom w:val="single" w:sz="4" w:space="0" w:color="D3D3D3"/>
            </w:tcBorders>
            <w:shd w:val="clear" w:color="auto" w:fill="F4F6F8"/>
          </w:tcPr>
          <w:p w14:paraId="6603D5D7" w14:textId="77777777" w:rsidR="00182B25" w:rsidRDefault="00CF30F9">
            <w:pPr>
              <w:spacing w:after="80" w:line="276" w:lineRule="auto"/>
            </w:pPr>
            <w:r>
              <w:rPr>
                <w:sz w:val="19"/>
              </w:rPr>
              <w:t>Natively aligns automated curriculum generation with human cognitive pathways, ensuring fair student metrics.</w:t>
            </w:r>
          </w:p>
        </w:tc>
      </w:tr>
      <w:tr w:rsidR="00182B25" w14:paraId="6BB7B6D9" w14:textId="77777777">
        <w:trPr>
          <w:jc w:val="center"/>
        </w:trPr>
        <w:tc>
          <w:tcPr>
            <w:tcW w:w="2592" w:type="dxa"/>
            <w:tcBorders>
              <w:bottom w:val="single" w:sz="4" w:space="0" w:color="D3D3D3"/>
            </w:tcBorders>
          </w:tcPr>
          <w:p w14:paraId="08922374" w14:textId="77777777" w:rsidR="00182B25" w:rsidRDefault="00CF30F9">
            <w:pPr>
              <w:spacing w:after="80" w:line="276" w:lineRule="auto"/>
            </w:pPr>
            <w:r>
              <w:rPr>
                <w:sz w:val="19"/>
              </w:rPr>
              <w:t>Advanced Manufacturing</w:t>
            </w:r>
          </w:p>
        </w:tc>
        <w:tc>
          <w:tcPr>
            <w:tcW w:w="2160" w:type="dxa"/>
            <w:tcBorders>
              <w:bottom w:val="single" w:sz="4" w:space="0" w:color="D3D3D3"/>
            </w:tcBorders>
          </w:tcPr>
          <w:p w14:paraId="6966CE0A" w14:textId="77777777" w:rsidR="00182B25" w:rsidRDefault="00CF30F9">
            <w:pPr>
              <w:spacing w:after="80" w:line="276" w:lineRule="auto"/>
            </w:pPr>
            <w:r>
              <w:rPr>
                <w:b/>
                <w:sz w:val="19"/>
              </w:rPr>
              <w:t>$100B – $200B / year</w:t>
            </w:r>
          </w:p>
        </w:tc>
        <w:tc>
          <w:tcPr>
            <w:tcW w:w="4608" w:type="dxa"/>
            <w:tcBorders>
              <w:bottom w:val="single" w:sz="4" w:space="0" w:color="D3D3D3"/>
            </w:tcBorders>
          </w:tcPr>
          <w:p w14:paraId="27FB389D" w14:textId="77777777" w:rsidR="00182B25" w:rsidRDefault="00CF30F9">
            <w:pPr>
              <w:spacing w:after="80" w:line="276" w:lineRule="auto"/>
            </w:pPr>
            <w:r>
              <w:rPr>
                <w:sz w:val="19"/>
              </w:rPr>
              <w:t>Powers high-dimensional failure prediction graphs and guarantees absolute physical safety boundaries for multi-axis robotic arms.</w:t>
            </w:r>
          </w:p>
        </w:tc>
      </w:tr>
      <w:tr w:rsidR="00182B25" w14:paraId="44042781" w14:textId="77777777">
        <w:trPr>
          <w:jc w:val="center"/>
        </w:trPr>
        <w:tc>
          <w:tcPr>
            <w:tcW w:w="2592" w:type="dxa"/>
            <w:tcBorders>
              <w:bottom w:val="single" w:sz="4" w:space="0" w:color="D3D3D3"/>
            </w:tcBorders>
            <w:shd w:val="clear" w:color="auto" w:fill="F4F6F8"/>
          </w:tcPr>
          <w:p w14:paraId="01EE9E8B" w14:textId="77777777" w:rsidR="00182B25" w:rsidRDefault="00CF30F9">
            <w:pPr>
              <w:spacing w:after="80" w:line="276" w:lineRule="auto"/>
            </w:pPr>
            <w:r>
              <w:rPr>
                <w:sz w:val="19"/>
              </w:rPr>
              <w:t>HR &amp; Talent Recruiting</w:t>
            </w:r>
          </w:p>
        </w:tc>
        <w:tc>
          <w:tcPr>
            <w:tcW w:w="2160" w:type="dxa"/>
            <w:tcBorders>
              <w:bottom w:val="single" w:sz="4" w:space="0" w:color="D3D3D3"/>
            </w:tcBorders>
            <w:shd w:val="clear" w:color="auto" w:fill="F4F6F8"/>
          </w:tcPr>
          <w:p w14:paraId="3A44E9C7" w14:textId="77777777" w:rsidR="00182B25" w:rsidRDefault="00CF30F9">
            <w:pPr>
              <w:spacing w:after="80" w:line="276" w:lineRule="auto"/>
            </w:pPr>
            <w:r>
              <w:rPr>
                <w:b/>
                <w:sz w:val="19"/>
              </w:rPr>
              <w:t>$20B – $50B / year</w:t>
            </w:r>
          </w:p>
        </w:tc>
        <w:tc>
          <w:tcPr>
            <w:tcW w:w="4608" w:type="dxa"/>
            <w:tcBorders>
              <w:bottom w:val="single" w:sz="4" w:space="0" w:color="D3D3D3"/>
            </w:tcBorders>
            <w:shd w:val="clear" w:color="auto" w:fill="F4F6F8"/>
          </w:tcPr>
          <w:p w14:paraId="00C94261" w14:textId="77777777" w:rsidR="00182B25" w:rsidRDefault="00CF30F9">
            <w:pPr>
              <w:spacing w:after="80" w:line="276" w:lineRule="auto"/>
            </w:pPr>
            <w:r>
              <w:rPr>
                <w:sz w:val="19"/>
              </w:rPr>
              <w:t>Eliminates algorithmic proxy variable bias across automated screening tools, generating defensible anti-bias logs.</w:t>
            </w:r>
          </w:p>
        </w:tc>
      </w:tr>
      <w:tr w:rsidR="00182B25" w14:paraId="5AB5FC56" w14:textId="77777777">
        <w:trPr>
          <w:jc w:val="center"/>
        </w:trPr>
        <w:tc>
          <w:tcPr>
            <w:tcW w:w="2592" w:type="dxa"/>
            <w:tcBorders>
              <w:bottom w:val="single" w:sz="4" w:space="0" w:color="D3D3D3"/>
            </w:tcBorders>
          </w:tcPr>
          <w:p w14:paraId="6E6C5667" w14:textId="77777777" w:rsidR="00182B25" w:rsidRDefault="00CF30F9">
            <w:pPr>
              <w:spacing w:after="80" w:line="276" w:lineRule="auto"/>
            </w:pPr>
            <w:r>
              <w:rPr>
                <w:sz w:val="19"/>
              </w:rPr>
              <w:t>Legal, Risk &amp; Compliance</w:t>
            </w:r>
          </w:p>
        </w:tc>
        <w:tc>
          <w:tcPr>
            <w:tcW w:w="2160" w:type="dxa"/>
            <w:tcBorders>
              <w:bottom w:val="single" w:sz="4" w:space="0" w:color="D3D3D3"/>
            </w:tcBorders>
          </w:tcPr>
          <w:p w14:paraId="4D3BB137" w14:textId="77777777" w:rsidR="00182B25" w:rsidRDefault="00CF30F9">
            <w:pPr>
              <w:spacing w:after="80" w:line="276" w:lineRule="auto"/>
            </w:pPr>
            <w:r>
              <w:rPr>
                <w:b/>
                <w:sz w:val="19"/>
              </w:rPr>
              <w:t>$30B – $60B / year</w:t>
            </w:r>
          </w:p>
        </w:tc>
        <w:tc>
          <w:tcPr>
            <w:tcW w:w="4608" w:type="dxa"/>
            <w:tcBorders>
              <w:bottom w:val="single" w:sz="4" w:space="0" w:color="D3D3D3"/>
            </w:tcBorders>
          </w:tcPr>
          <w:p w14:paraId="060A784E" w14:textId="77777777" w:rsidR="00182B25" w:rsidRDefault="00CF30F9">
            <w:pPr>
              <w:spacing w:after="80" w:line="276" w:lineRule="auto"/>
            </w:pPr>
            <w:r>
              <w:rPr>
                <w:sz w:val="19"/>
              </w:rPr>
              <w:t>Ensures strict contract synthesis consistency, automates statutory review logic, and produces robust audit trails.</w:t>
            </w:r>
          </w:p>
        </w:tc>
      </w:tr>
      <w:tr w:rsidR="00182B25" w14:paraId="779D7717" w14:textId="77777777">
        <w:trPr>
          <w:jc w:val="center"/>
        </w:trPr>
        <w:tc>
          <w:tcPr>
            <w:tcW w:w="2592" w:type="dxa"/>
            <w:tcBorders>
              <w:bottom w:val="single" w:sz="4" w:space="0" w:color="D3D3D3"/>
            </w:tcBorders>
            <w:shd w:val="clear" w:color="auto" w:fill="F4F6F8"/>
          </w:tcPr>
          <w:p w14:paraId="129E4B55" w14:textId="77777777" w:rsidR="00182B25" w:rsidRDefault="00CF30F9">
            <w:pPr>
              <w:spacing w:after="80" w:line="276" w:lineRule="auto"/>
            </w:pPr>
            <w:r>
              <w:rPr>
                <w:sz w:val="19"/>
              </w:rPr>
              <w:t>Transportation, Logistics &amp; Mobility</w:t>
            </w:r>
          </w:p>
        </w:tc>
        <w:tc>
          <w:tcPr>
            <w:tcW w:w="2160" w:type="dxa"/>
            <w:tcBorders>
              <w:bottom w:val="single" w:sz="4" w:space="0" w:color="D3D3D3"/>
            </w:tcBorders>
            <w:shd w:val="clear" w:color="auto" w:fill="F4F6F8"/>
          </w:tcPr>
          <w:p w14:paraId="5DBCB86B" w14:textId="77777777" w:rsidR="00182B25" w:rsidRDefault="00CF30F9">
            <w:pPr>
              <w:spacing w:after="80" w:line="276" w:lineRule="auto"/>
            </w:pPr>
            <w:r>
              <w:rPr>
                <w:b/>
                <w:sz w:val="19"/>
              </w:rPr>
              <w:t>$50B – $100B / year</w:t>
            </w:r>
          </w:p>
        </w:tc>
        <w:tc>
          <w:tcPr>
            <w:tcW w:w="4608" w:type="dxa"/>
            <w:tcBorders>
              <w:bottom w:val="single" w:sz="4" w:space="0" w:color="D3D3D3"/>
            </w:tcBorders>
            <w:shd w:val="clear" w:color="auto" w:fill="F4F6F8"/>
          </w:tcPr>
          <w:p w14:paraId="2BFBD815" w14:textId="77777777" w:rsidR="00182B25" w:rsidRDefault="00CF30F9">
            <w:pPr>
              <w:spacing w:after="80" w:line="276" w:lineRule="auto"/>
            </w:pPr>
            <w:r>
              <w:rPr>
                <w:sz w:val="19"/>
              </w:rPr>
              <w:t>Hard-bounds real-time autonomous vehicle planning mechanics, meeting strict ISO 26262 functional safety metrics.</w:t>
            </w:r>
          </w:p>
        </w:tc>
      </w:tr>
    </w:tbl>
    <w:p w14:paraId="6EEEA8E9" w14:textId="77777777" w:rsidR="00182B25" w:rsidRDefault="00CF30F9">
      <w:pPr>
        <w:keepNext/>
        <w:spacing w:before="440" w:after="200"/>
      </w:pPr>
      <w:r>
        <w:rPr>
          <w:b/>
          <w:color w:val="1B365D"/>
          <w:sz w:val="28"/>
        </w:rPr>
        <w:t>4. AI Type–Specific Economic Impact</w:t>
      </w:r>
    </w:p>
    <w:p w14:paraId="54D2E0B7" w14:textId="77777777" w:rsidR="00182B25" w:rsidRDefault="00CF30F9">
      <w:r>
        <w:t>HNS yields unique economic value multipliers depending on the specific computational architecture of the target artificial intelligence modality:</w:t>
      </w:r>
    </w:p>
    <w:p w14:paraId="39039FE0" w14:textId="77777777" w:rsidR="00182B25" w:rsidRDefault="00CF30F9">
      <w:pPr>
        <w:pStyle w:val="a0"/>
        <w:spacing w:after="80"/>
      </w:pPr>
      <w:r>
        <w:rPr>
          <w:b/>
        </w:rPr>
        <w:t xml:space="preserve">Generative AI Systems ($300B – $500B annual value): </w:t>
      </w:r>
      <w:r>
        <w:t>By overlaying HSF (Structural Feedback) directly onto inference pipelines, HNS stops token-drift hallucinations at the origin. This allows financial, legal, and medical enterprises to deploy foundational models for customer-facing document synthesis without exposing the organization to legal liabilities or brand degradation.</w:t>
      </w:r>
    </w:p>
    <w:p w14:paraId="5B193495" w14:textId="77777777" w:rsidR="00182B25" w:rsidRDefault="00CF30F9">
      <w:pPr>
        <w:pStyle w:val="a0"/>
        <w:spacing w:after="80"/>
      </w:pPr>
      <w:r>
        <w:rPr>
          <w:b/>
        </w:rPr>
        <w:lastRenderedPageBreak/>
        <w:t xml:space="preserve">Decision-Making AI Models ($100B – $200B annual value): </w:t>
      </w:r>
      <w:r>
        <w:t>HNS-36 strips away the opaque 'black-box' nature of classic deep neural networks. By mapping automated reasoning vectors onto structured, immutable cognitive paths, it gives enterprise risk managers complete transparency over automated corporate decisions.</w:t>
      </w:r>
    </w:p>
    <w:p w14:paraId="71031AA8" w14:textId="77777777" w:rsidR="00182B25" w:rsidRDefault="00CF30F9">
      <w:pPr>
        <w:pStyle w:val="a0"/>
        <w:spacing w:after="80"/>
      </w:pPr>
      <w:r>
        <w:rPr>
          <w:b/>
        </w:rPr>
        <w:t xml:space="preserve">Predictive AI Systems ($100B – $200B annual value): </w:t>
      </w:r>
      <w:r>
        <w:t>Traditional statistical prediction engines struggle with non-linear contextual changes. SOHU embeds explicit causal visibility into deep vector spaces, drastically improving predictive precision across supply chains, market forecasts, and predictive machine maintenance loops.</w:t>
      </w:r>
    </w:p>
    <w:p w14:paraId="1F2299C4" w14:textId="77777777" w:rsidR="00182B25" w:rsidRDefault="00CF30F9">
      <w:pPr>
        <w:pStyle w:val="a0"/>
        <w:spacing w:after="80"/>
      </w:pPr>
      <w:r>
        <w:rPr>
          <w:b/>
        </w:rPr>
        <w:t xml:space="preserve">Autonomous Agents &amp; Embodied Robotics ($50B – $100B annual value): </w:t>
      </w:r>
      <w:r>
        <w:t>HNS provides a model-independent external verification layer (EVA) that defines safe physical and digital action boundaries. This ensures autonomous systems can navigate dynamic factory floors, urban transit environments, and un-monitored web workflows with zero threat of semantic manipulation or dangerous physical deviation.</w:t>
      </w:r>
    </w:p>
    <w:p w14:paraId="0D71BC10" w14:textId="77777777" w:rsidR="00182B25" w:rsidRDefault="00CF30F9">
      <w:pPr>
        <w:keepNext/>
        <w:spacing w:before="440" w:after="200"/>
      </w:pPr>
      <w:r>
        <w:rPr>
          <w:b/>
          <w:color w:val="1B365D"/>
          <w:sz w:val="28"/>
        </w:rPr>
        <w:t>5. Total Global Economic Value of HNS</w:t>
      </w:r>
    </w:p>
    <w:p w14:paraId="5F486CB4" w14:textId="77777777" w:rsidR="00182B25" w:rsidRDefault="00CF30F9">
      <w:r>
        <w:t>Aggregating all direct cost reductions, systemic compliance savings, and cross-industry multifactor efficiency gains across the entire digital infrastructure ecosystem computes the definitive financial contribution of the architecture:</w:t>
      </w:r>
    </w:p>
    <w:p w14:paraId="787F2CC0" w14:textId="77777777" w:rsidR="00182B25" w:rsidRDefault="00CF30F9">
      <w:pPr>
        <w:spacing w:before="240" w:after="240"/>
        <w:jc w:val="center"/>
      </w:pPr>
      <w:r>
        <w:rPr>
          <w:b/>
          <w:color w:val="1B365D"/>
          <w:sz w:val="28"/>
        </w:rPr>
        <w:t>Total Projected HNS Global Economic Impact: $3 Trillion – $5 Trillion / Year</w:t>
      </w:r>
    </w:p>
    <w:p w14:paraId="41E4A927" w14:textId="77777777" w:rsidR="00182B25" w:rsidRDefault="00CF30F9">
      <w:r>
        <w:t>This massive economic leverage effect places the adoption of Human Natural Structure on the exact same macroeconomic scale as historical baseline infrastructure shifts, including:</w:t>
      </w:r>
    </w:p>
    <w:p w14:paraId="7C3A0A1E" w14:textId="77777777" w:rsidR="00182B25" w:rsidRDefault="00CF30F9">
      <w:pPr>
        <w:pStyle w:val="a0"/>
      </w:pPr>
      <w:r>
        <w:t>The total economic surplus and global market transformation created by the deployment of TCP/IP and the commercial Internet.</w:t>
      </w:r>
    </w:p>
    <w:p w14:paraId="59A30FA4" w14:textId="77777777" w:rsidR="00182B25" w:rsidRDefault="00CF30F9">
      <w:pPr>
        <w:pStyle w:val="a0"/>
      </w:pPr>
      <w:r>
        <w:t>The baseline operational productivity uplift achieved via the transition from on-premise hardware to enterprise Cloud Computing.</w:t>
      </w:r>
    </w:p>
    <w:p w14:paraId="5F9BF266" w14:textId="77777777" w:rsidR="00182B25" w:rsidRDefault="00CF30F9">
      <w:pPr>
        <w:pStyle w:val="a0"/>
      </w:pPr>
      <w:r>
        <w:t>The sweeping, civilization-level efficiency gains realized through the deployment of modern Industrial Automation and smart manufacturing grids.</w:t>
      </w:r>
    </w:p>
    <w:p w14:paraId="7CAF1B80" w14:textId="77777777" w:rsidR="00182B25" w:rsidRDefault="00CF30F9">
      <w:r>
        <w:t>HNS cannot be categorized as a mere feature, patch, or isolated software optimization kit. It represents the indispensable, foundational structural operating system layer required to support and stabilize the global artificial intelligence economy.</w:t>
      </w:r>
    </w:p>
    <w:p w14:paraId="64BF05A5" w14:textId="77777777" w:rsidR="00182B25" w:rsidRDefault="00CF30F9">
      <w:pPr>
        <w:keepNext/>
        <w:spacing w:before="440" w:after="200"/>
      </w:pPr>
      <w:r>
        <w:rPr>
          <w:b/>
          <w:color w:val="1B365D"/>
          <w:sz w:val="28"/>
        </w:rPr>
        <w:t>References</w:t>
      </w:r>
    </w:p>
    <w:p w14:paraId="0F48666F" w14:textId="77777777" w:rsidR="00182B25" w:rsidRDefault="00CF30F9">
      <w:pPr>
        <w:spacing w:after="80"/>
        <w:ind w:left="360" w:hanging="360"/>
      </w:pPr>
      <w:r>
        <w:t>[1] Hara, S. (2026). Human Natural Structure (HNS) Technical Specification Manual: Full-Stack Core Coordinates (HNS-36/144/864). Natural Architecture Works (NAW).</w:t>
      </w:r>
    </w:p>
    <w:p w14:paraId="678E5B7B" w14:textId="77777777" w:rsidR="00182B25" w:rsidRDefault="00CF30F9">
      <w:pPr>
        <w:spacing w:after="80"/>
        <w:ind w:left="360" w:hanging="360"/>
      </w:pPr>
      <w:r>
        <w:t>[2] Hara, S. (2026). External Verification Architecture (EVA) Technical White Paper: Bounded Reasoning and Checksum Protocols for Autonomous Systems. Natural Architecture Works (NAW).</w:t>
      </w:r>
    </w:p>
    <w:p w14:paraId="5B586F80" w14:textId="77777777" w:rsidR="00182B25" w:rsidRDefault="00CF30F9">
      <w:pPr>
        <w:spacing w:after="80"/>
        <w:ind w:left="360" w:hanging="360"/>
      </w:pPr>
      <w:r>
        <w:lastRenderedPageBreak/>
        <w:t>[3] National Institute of Standards and Technology. (2023). NIST AI Risk Management Framework (AI RMF 1.0). NIST Special Publication.</w:t>
      </w:r>
    </w:p>
    <w:p w14:paraId="6ABA57F7" w14:textId="77777777" w:rsidR="00182B25" w:rsidRDefault="00CF30F9">
      <w:pPr>
        <w:spacing w:after="80"/>
        <w:ind w:left="360" w:hanging="360"/>
      </w:pPr>
      <w:r>
        <w:t>[4] International Organization for Standardization. (2023). ISO/IEC 42001:2023 - Information technology — Artificial intelligence — Management system. Geneva, Switzerland.</w:t>
      </w:r>
    </w:p>
    <w:p w14:paraId="09CD901A" w14:textId="77777777" w:rsidR="00182B25" w:rsidRDefault="00CF30F9">
      <w:pPr>
        <w:spacing w:after="80"/>
        <w:ind w:left="360" w:hanging="360"/>
      </w:pPr>
      <w:r>
        <w:t>[5] European Parliament and Council of the European Union. (2024). Regulation (EU) 2024/XXX laying down harmonised rules on artificial intelligence (Artificial Intelligence Act).</w:t>
      </w:r>
    </w:p>
    <w:p w14:paraId="2E1DE21B" w14:textId="77777777" w:rsidR="00182B25" w:rsidRDefault="00CF30F9">
      <w:pPr>
        <w:spacing w:after="80"/>
        <w:ind w:left="360" w:hanging="360"/>
      </w:pPr>
      <w:r>
        <w:t>[6] Gartner Research. (2025). Forecaster Analysis: Global Artificial Intelligence Enterprise Spending and Macroeconomic Optimization Projections (2025-2030).</w:t>
      </w:r>
    </w:p>
    <w:sectPr w:rsidR="00182B2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3BD7236-0CBF-444D-8354-5CE66EB77210}"/>
  </w:font>
  <w:font w:name="Times New Roman">
    <w:panose1 w:val="02020603050405020304"/>
    <w:charset w:val="00"/>
    <w:family w:val="roman"/>
    <w:pitch w:val="variable"/>
    <w:sig w:usb0="E0002EFF" w:usb1="C000785B" w:usb2="00000009" w:usb3="00000000" w:csb0="000001FF" w:csb1="00000000"/>
    <w:embedRegular r:id="rId2" w:fontKey="{4CFC0F3B-85A8-4B74-AA58-F2BE121D1BD3}"/>
    <w:embedBold r:id="rId3" w:fontKey="{B215E0B4-B038-4E38-A604-FDA04E7B79DA}"/>
    <w:embedItalic r:id="rId4" w:fontKey="{750B399E-AAEF-427A-A065-CB36134518F2}"/>
    <w:embedBoldItalic r:id="rId5" w:fontKey="{2E1B04DB-2290-40B3-BD61-733155679027}"/>
  </w:font>
  <w:font w:name="Cambria">
    <w:panose1 w:val="02040503050406030204"/>
    <w:charset w:val="00"/>
    <w:family w:val="roman"/>
    <w:pitch w:val="variable"/>
    <w:sig w:usb0="E00006FF" w:usb1="420024FF" w:usb2="02000000" w:usb3="00000000" w:csb0="0000019F" w:csb1="00000000"/>
    <w:embedRegular r:id="rId6" w:fontKey="{05ADFE86-DC9B-4D43-86CB-0C570E9F6722}"/>
    <w:embedBold r:id="rId7" w:fontKey="{1952BFB1-71DD-4CBE-A5F7-40E5E5298C67}"/>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46D011D0-44B0-40A1-AB46-FC15CCA85EC0}"/>
    <w:embedBold r:id="rId9" w:fontKey="{2014E47F-DD24-4DEC-8333-720D0DC7DF21}"/>
    <w:embedItalic r:id="rId10" w:fontKey="{1AAC00D3-B6D2-4A50-90A6-43943F37E1F6}"/>
    <w:embedBoldItalic r:id="rId11" w:fontKey="{FC7A0790-1A0A-4032-8E55-43B3CB106686}"/>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0131696">
    <w:abstractNumId w:val="8"/>
  </w:num>
  <w:num w:numId="2" w16cid:durableId="925769803">
    <w:abstractNumId w:val="6"/>
  </w:num>
  <w:num w:numId="3" w16cid:durableId="1568298482">
    <w:abstractNumId w:val="5"/>
  </w:num>
  <w:num w:numId="4" w16cid:durableId="21518071">
    <w:abstractNumId w:val="4"/>
  </w:num>
  <w:num w:numId="5" w16cid:durableId="57628704">
    <w:abstractNumId w:val="7"/>
  </w:num>
  <w:num w:numId="6" w16cid:durableId="1124499428">
    <w:abstractNumId w:val="3"/>
  </w:num>
  <w:num w:numId="7" w16cid:durableId="1590625932">
    <w:abstractNumId w:val="2"/>
  </w:num>
  <w:num w:numId="8" w16cid:durableId="17388352">
    <w:abstractNumId w:val="1"/>
  </w:num>
  <w:num w:numId="9" w16cid:durableId="181174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B25"/>
    <w:rsid w:val="0029639D"/>
    <w:rsid w:val="00326F90"/>
    <w:rsid w:val="006265DF"/>
    <w:rsid w:val="007E2D17"/>
    <w:rsid w:val="00AA1D8D"/>
    <w:rsid w:val="00B47730"/>
    <w:rsid w:val="00C30E38"/>
    <w:rsid w:val="00CB0664"/>
    <w:rsid w:val="00CF30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7C9DCCB"/>
  <w14:defaultImageDpi w14:val="330"/>
  <w15:docId w15:val="{2440606E-845F-424C-BC63-8FB98F4D8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Times New Roman" w:hAnsi="Times New Roman"/>
      <w:color w:val="11111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原聡</cp:lastModifiedBy>
  <cp:revision>3</cp:revision>
  <cp:lastPrinted>2026-05-24T19:11:00Z</cp:lastPrinted>
  <dcterms:created xsi:type="dcterms:W3CDTF">2013-12-23T23:15:00Z</dcterms:created>
  <dcterms:modified xsi:type="dcterms:W3CDTF">2026-05-24T19:12:00Z</dcterms:modified>
  <cp:category/>
</cp:coreProperties>
</file>