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BB56" w14:textId="77777777" w:rsidR="005A2D22" w:rsidRPr="00C1179E" w:rsidRDefault="00B2578B">
      <w:pPr>
        <w:spacing w:before="720"/>
        <w:jc w:val="center"/>
        <w:rPr>
          <w:sz w:val="40"/>
          <w:szCs w:val="40"/>
        </w:rPr>
      </w:pPr>
      <w:r w:rsidRPr="00C1179E">
        <w:rPr>
          <w:b/>
          <w:color w:val="1B365D"/>
          <w:sz w:val="40"/>
          <w:szCs w:val="40"/>
        </w:rPr>
        <w:t>Conceptual Framework for Integrating HNS into</w:t>
      </w:r>
      <w:r w:rsidRPr="00C1179E">
        <w:rPr>
          <w:b/>
          <w:color w:val="1B365D"/>
          <w:sz w:val="40"/>
          <w:szCs w:val="40"/>
        </w:rPr>
        <w:br/>
        <w:t>AI Safety and AI Governance Systems</w:t>
      </w:r>
    </w:p>
    <w:p w14:paraId="3BEC8B0A" w14:textId="77777777" w:rsidR="005A2D22" w:rsidRDefault="00B2578B">
      <w:pPr>
        <w:spacing w:after="480"/>
        <w:jc w:val="center"/>
      </w:pPr>
      <w:r>
        <w:rPr>
          <w:i/>
          <w:color w:val="5C768D"/>
          <w:sz w:val="26"/>
        </w:rPr>
        <w:t>A Comprehensive Technical Report on Semantic Alignment Architecture</w:t>
      </w:r>
    </w:p>
    <w:p w14:paraId="7C9ECC55" w14:textId="77777777" w:rsidR="005A2D22" w:rsidRDefault="00B2578B">
      <w:pPr>
        <w:spacing w:after="720"/>
        <w:jc w:val="center"/>
      </w:pPr>
      <w:r>
        <w:rPr>
          <w:b/>
        </w:rPr>
        <w:t>Author: Satoru Hara</w:t>
      </w:r>
      <w:r>
        <w:rPr>
          <w:b/>
        </w:rPr>
        <w:br/>
      </w:r>
      <w:r>
        <w:rPr>
          <w:color w:val="5C768D"/>
          <w:sz w:val="20"/>
        </w:rPr>
        <w:t>Independent Researcher / Founder, Natural Architecture Works (NAW)</w:t>
      </w:r>
      <w:r>
        <w:rPr>
          <w:color w:val="5C768D"/>
          <w:sz w:val="20"/>
        </w:rPr>
        <w:br/>
        <w:t>Toyota, Aichi, Japan</w:t>
      </w:r>
    </w:p>
    <w:p w14:paraId="7311C094" w14:textId="77777777" w:rsidR="005A2D22" w:rsidRDefault="00B2578B">
      <w:pPr>
        <w:keepNext/>
        <w:spacing w:before="400" w:after="200"/>
      </w:pPr>
      <w:r>
        <w:rPr>
          <w:b/>
          <w:color w:val="1B365D"/>
          <w:sz w:val="28"/>
        </w:rPr>
        <w:t>0. Executive Summary</w:t>
      </w:r>
    </w:p>
    <w:p w14:paraId="0B15D698" w14:textId="77777777" w:rsidR="005A2D22" w:rsidRDefault="00B2578B">
      <w:r>
        <w:t>The Human Natural Structure (HNS)—alternatively formalizing the Human Nature System—presents a breakthrough mathematical and cognitive meta-model designed to translate invariant human meaning structures, core value systems, and high-dimensional cognitive patterns into machine-interpretable data arrays. Within the critical landscape of Artificial Intelligence Safety and AI Governance, HNS operates as a deterministic, human-centered semantic layer. This architecture bridges the structural gap between fluid human intentionality and the probabilistic outputs of large-scale frontier AI models.</w:t>
      </w:r>
    </w:p>
    <w:p w14:paraId="5FD63D30" w14:textId="77777777" w:rsidR="005A2D22" w:rsidRDefault="00B2578B">
      <w:r>
        <w:t>This report articulates a comprehensive conceptual and technical framework for integrating HNS directly into prevailing global AI safety ecosystems, enterprise governance controls, and emerging compliance standards. Specifically, it addresses integration mechanisms for the NIST AI Risk Management Framework (AI RMF), ISO/IEC 42001 (Artificial Intelligence Management System), the European Union AI Act (EU AI Act), and strict frontier model deployment safety protocols. By establishing a formalized external auditing protocol via mathematical semantic constraints, HNS completes the verification loops where statistical model alignments fundamentally fail.</w:t>
      </w:r>
    </w:p>
    <w:p w14:paraId="38F64E94" w14:textId="77777777" w:rsidR="005A2D22" w:rsidRDefault="00B2578B">
      <w:pPr>
        <w:keepNext/>
        <w:spacing w:before="400" w:after="200"/>
      </w:pPr>
      <w:r>
        <w:rPr>
          <w:b/>
          <w:color w:val="1B365D"/>
          <w:sz w:val="28"/>
        </w:rPr>
        <w:t>1. Foundations of HNS: Its Role in AI Safety</w:t>
      </w:r>
    </w:p>
    <w:p w14:paraId="5C314C12" w14:textId="77777777" w:rsidR="005A2D22" w:rsidRDefault="00B2578B">
      <w:pPr>
        <w:keepNext/>
        <w:spacing w:before="280" w:after="120"/>
      </w:pPr>
      <w:r>
        <w:rPr>
          <w:b/>
          <w:color w:val="5C768D"/>
          <w:sz w:val="24"/>
        </w:rPr>
        <w:t>1.1 Core Concepts of HNS Architecture</w:t>
      </w:r>
    </w:p>
    <w:p w14:paraId="6A40333E" w14:textId="77777777" w:rsidR="005A2D22" w:rsidRDefault="00B2578B">
      <w:r>
        <w:t>HNS bypasses the limitations of natural language parsing by creating an invariant coordinate system of human intent. It relies on three operational pillars:</w:t>
      </w:r>
    </w:p>
    <w:p w14:paraId="3BFAB029" w14:textId="77777777" w:rsidR="005A2D22" w:rsidRDefault="00B2578B">
      <w:pPr>
        <w:pStyle w:val="a0"/>
        <w:spacing w:after="80"/>
      </w:pPr>
      <w:r>
        <w:rPr>
          <w:b/>
        </w:rPr>
        <w:t xml:space="preserve">Human Scope: </w:t>
      </w:r>
      <w:r>
        <w:t>A machine-readable, multi-dimensional definition of human intentions, cross-cultural ethical boundaries, value hierarchies, and contextual constraints. It provides the immutable boundary criteria for valid AI operational states.</w:t>
      </w:r>
    </w:p>
    <w:p w14:paraId="1B44D82F" w14:textId="77777777" w:rsidR="005A2D22" w:rsidRDefault="00B2578B">
      <w:pPr>
        <w:pStyle w:val="a0"/>
        <w:spacing w:after="80"/>
      </w:pPr>
      <w:r>
        <w:rPr>
          <w:b/>
        </w:rPr>
        <w:t xml:space="preserve">Semantic Operating System (SOHU): </w:t>
      </w:r>
      <w:r>
        <w:t>The logical runtime layer that maps semantic tokens to structural cognitive primitives, allowing complex context vectors to be calculated, indexed, and tracked across recursive inference sequences.</w:t>
      </w:r>
    </w:p>
    <w:p w14:paraId="3B263AE5" w14:textId="77777777" w:rsidR="005A2D22" w:rsidRDefault="00B2578B">
      <w:pPr>
        <w:pStyle w:val="a0"/>
        <w:spacing w:after="80"/>
      </w:pPr>
      <w:r>
        <w:rPr>
          <w:b/>
        </w:rPr>
        <w:lastRenderedPageBreak/>
        <w:t xml:space="preserve">Semantic Alignment Protocols: </w:t>
      </w:r>
      <w:r>
        <w:t>Deterministic mathematical algorithms designed to ensure that the computational output generated by neural networks remains tightly bounded within the predefined invariants of the Human Scope coordinate grid.</w:t>
      </w:r>
    </w:p>
    <w:p w14:paraId="44AE4965" w14:textId="77777777" w:rsidR="005A2D22" w:rsidRDefault="00B2578B">
      <w:pPr>
        <w:keepNext/>
        <w:spacing w:before="280" w:after="120"/>
      </w:pPr>
      <w:r>
        <w:rPr>
          <w:b/>
          <w:color w:val="5C768D"/>
          <w:sz w:val="24"/>
        </w:rPr>
        <w:t>1.2 Positioning HNS in the Modern AI Safety Landscape</w:t>
      </w:r>
    </w:p>
    <w:p w14:paraId="6D42783D" w14:textId="77777777" w:rsidR="005A2D22" w:rsidRDefault="00B2578B">
      <w:r>
        <w:t>Contemporary safety methodologies depend almost exclusively on Reinforcement Learning from Human Feedback (RLHF) or Direct Preference Optimization (DPO). These paradigms alter interior weights probabilistically, leaving models highly vulnerable to jailbreaking and semantic drift. HNS provides a robust, external solution by addressing five core dimensions:</w:t>
      </w:r>
    </w:p>
    <w:p w14:paraId="2A0BA01E" w14:textId="77777777" w:rsidR="005A2D22" w:rsidRDefault="00B2578B">
      <w:pPr>
        <w:pStyle w:val="a0"/>
        <w:spacing w:after="80"/>
      </w:pPr>
      <w:r>
        <w:rPr>
          <w:b/>
        </w:rPr>
        <w:t xml:space="preserve">Value Alignment: </w:t>
      </w:r>
      <w:r>
        <w:t>Replaces variable heuristic guidelines with invariant mathematical coordinates to bind objective system ethics.</w:t>
      </w:r>
    </w:p>
    <w:p w14:paraId="1B0A5E5E" w14:textId="77777777" w:rsidR="005A2D22" w:rsidRDefault="00B2578B">
      <w:pPr>
        <w:pStyle w:val="a0"/>
        <w:spacing w:after="80"/>
      </w:pPr>
      <w:r>
        <w:rPr>
          <w:b/>
        </w:rPr>
        <w:t xml:space="preserve">Interpretability &amp; Mechanical Transparency: </w:t>
      </w:r>
      <w:r>
        <w:t>Acts as an external semantic decoder, mapping the hidden activation spaces of deep neural networks directly to legible human structural categories.</w:t>
      </w:r>
    </w:p>
    <w:p w14:paraId="77D2E9DA" w14:textId="77777777" w:rsidR="005A2D22" w:rsidRDefault="00B2578B">
      <w:pPr>
        <w:pStyle w:val="a0"/>
        <w:spacing w:after="80"/>
      </w:pPr>
      <w:r>
        <w:rPr>
          <w:b/>
        </w:rPr>
        <w:t xml:space="preserve">Semantic Risk Assessment: </w:t>
      </w:r>
      <w:r>
        <w:t>Allows institutional auditors to calculate deterministic risk multipliers based on contextual deviation rather than mere statistical outlier detection.</w:t>
      </w:r>
    </w:p>
    <w:p w14:paraId="716248C1" w14:textId="77777777" w:rsidR="005A2D22" w:rsidRDefault="00B2578B">
      <w:pPr>
        <w:pStyle w:val="a0"/>
        <w:spacing w:after="80"/>
      </w:pPr>
      <w:r>
        <w:rPr>
          <w:b/>
        </w:rPr>
        <w:t xml:space="preserve">Governance and Legal Accountability: </w:t>
      </w:r>
      <w:r>
        <w:t>Provides empirical, reproducible logs of semantic verification vectors, serving as compliance-ready audit trails for regulatory bodies.</w:t>
      </w:r>
    </w:p>
    <w:p w14:paraId="628DF7FE" w14:textId="77777777" w:rsidR="005A2D22" w:rsidRDefault="00B2578B">
      <w:pPr>
        <w:pStyle w:val="a0"/>
        <w:spacing w:after="80"/>
      </w:pPr>
      <w:r>
        <w:rPr>
          <w:b/>
        </w:rPr>
        <w:t xml:space="preserve">Societal Impact Evaluation: </w:t>
      </w:r>
      <w:r>
        <w:t>Quantifies the systemic effects of micro-level model outputs on macroeconomic and multi-cultural human structures over extended continuous operation cycles.</w:t>
      </w:r>
    </w:p>
    <w:p w14:paraId="7B6FAA0E" w14:textId="77777777" w:rsidR="005A2D22" w:rsidRDefault="00B2578B">
      <w:pPr>
        <w:keepNext/>
        <w:spacing w:before="400" w:after="200"/>
      </w:pPr>
      <w:r>
        <w:rPr>
          <w:b/>
          <w:color w:val="1B365D"/>
          <w:sz w:val="28"/>
        </w:rPr>
        <w:t>2. Mapping HNS to Existing AI Safety Frameworks</w:t>
      </w:r>
    </w:p>
    <w:p w14:paraId="05DBD2AD" w14:textId="77777777" w:rsidR="005A2D22" w:rsidRDefault="00B2578B">
      <w:r>
        <w:t>To ensure seamless industrial adoption, HNS maps directly into established global standards, enriching them with a missing deterministic semantic layer.</w:t>
      </w:r>
    </w:p>
    <w:p w14:paraId="5D2DE66D" w14:textId="77777777" w:rsidR="005A2D22" w:rsidRDefault="00B2578B">
      <w:pPr>
        <w:keepNext/>
        <w:spacing w:before="280" w:after="120"/>
      </w:pPr>
      <w:r>
        <w:rPr>
          <w:b/>
          <w:color w:val="5C768D"/>
          <w:sz w:val="24"/>
        </w:rPr>
        <w:t>2.1 NIST AI Risk Management Framework (AI RMF 1.0) Integration</w:t>
      </w:r>
    </w:p>
    <w:p w14:paraId="44EDCA8D" w14:textId="77777777" w:rsidR="005A2D22" w:rsidRDefault="00B2578B">
      <w:r>
        <w:t>HNS injects empirical, computable metrics into the four fundamental pillars of the NIST AI RMF:</w:t>
      </w:r>
    </w:p>
    <w:tbl>
      <w:tblPr>
        <w:tblW w:w="0" w:type="auto"/>
        <w:jc w:val="center"/>
        <w:tblLook w:val="04A0" w:firstRow="1" w:lastRow="0" w:firstColumn="1" w:lastColumn="0" w:noHBand="0" w:noVBand="1"/>
      </w:tblPr>
      <w:tblGrid>
        <w:gridCol w:w="1716"/>
        <w:gridCol w:w="3130"/>
        <w:gridCol w:w="4399"/>
      </w:tblGrid>
      <w:tr w:rsidR="005A2D22" w14:paraId="7B9740B5" w14:textId="77777777">
        <w:trPr>
          <w:jc w:val="center"/>
        </w:trPr>
        <w:tc>
          <w:tcPr>
            <w:tcW w:w="1728" w:type="dxa"/>
            <w:tcBorders>
              <w:bottom w:val="single" w:sz="4" w:space="0" w:color="D3D3D3"/>
            </w:tcBorders>
            <w:shd w:val="clear" w:color="auto" w:fill="1B365D"/>
          </w:tcPr>
          <w:p w14:paraId="71804CBA" w14:textId="77777777" w:rsidR="005A2D22" w:rsidRDefault="00B2578B">
            <w:r>
              <w:rPr>
                <w:b/>
                <w:color w:val="FFFFFF"/>
                <w:sz w:val="20"/>
              </w:rPr>
              <w:t>NIST RMF Core Pillar</w:t>
            </w:r>
          </w:p>
        </w:tc>
        <w:tc>
          <w:tcPr>
            <w:tcW w:w="3168" w:type="dxa"/>
            <w:tcBorders>
              <w:bottom w:val="single" w:sz="4" w:space="0" w:color="D3D3D3"/>
            </w:tcBorders>
            <w:shd w:val="clear" w:color="auto" w:fill="1B365D"/>
          </w:tcPr>
          <w:p w14:paraId="620C5CAD" w14:textId="77777777" w:rsidR="005A2D22" w:rsidRDefault="00B2578B">
            <w:r>
              <w:rPr>
                <w:b/>
                <w:color w:val="FFFFFF"/>
                <w:sz w:val="20"/>
              </w:rPr>
              <w:t>Standard Technical Requirement</w:t>
            </w:r>
          </w:p>
        </w:tc>
        <w:tc>
          <w:tcPr>
            <w:tcW w:w="4464" w:type="dxa"/>
            <w:tcBorders>
              <w:bottom w:val="single" w:sz="4" w:space="0" w:color="D3D3D3"/>
            </w:tcBorders>
            <w:shd w:val="clear" w:color="auto" w:fill="1B365D"/>
          </w:tcPr>
          <w:p w14:paraId="0F4C4246" w14:textId="77777777" w:rsidR="005A2D22" w:rsidRDefault="00B2578B">
            <w:r>
              <w:rPr>
                <w:b/>
                <w:color w:val="FFFFFF"/>
                <w:sz w:val="20"/>
              </w:rPr>
              <w:t>HNS Native Integration &amp; Contribution</w:t>
            </w:r>
          </w:p>
        </w:tc>
      </w:tr>
      <w:tr w:rsidR="005A2D22" w14:paraId="611FC83E" w14:textId="77777777">
        <w:trPr>
          <w:jc w:val="center"/>
        </w:trPr>
        <w:tc>
          <w:tcPr>
            <w:tcW w:w="1728" w:type="dxa"/>
            <w:tcBorders>
              <w:bottom w:val="single" w:sz="4" w:space="0" w:color="D3D3D3"/>
            </w:tcBorders>
          </w:tcPr>
          <w:p w14:paraId="749A5251" w14:textId="77777777" w:rsidR="005A2D22" w:rsidRDefault="00B2578B">
            <w:pPr>
              <w:spacing w:after="80" w:line="276" w:lineRule="auto"/>
            </w:pPr>
            <w:r>
              <w:rPr>
                <w:sz w:val="19"/>
              </w:rPr>
              <w:t>GOVERN</w:t>
            </w:r>
          </w:p>
        </w:tc>
        <w:tc>
          <w:tcPr>
            <w:tcW w:w="3168" w:type="dxa"/>
            <w:tcBorders>
              <w:bottom w:val="single" w:sz="4" w:space="0" w:color="D3D3D3"/>
            </w:tcBorders>
          </w:tcPr>
          <w:p w14:paraId="5F54E349" w14:textId="77777777" w:rsidR="005A2D22" w:rsidRDefault="00B2578B">
            <w:pPr>
              <w:spacing w:after="80" w:line="276" w:lineRule="auto"/>
            </w:pPr>
            <w:r>
              <w:rPr>
                <w:sz w:val="19"/>
              </w:rPr>
              <w:t>Establish organizational policies, risk cultures, and robust value alignment priorities.</w:t>
            </w:r>
          </w:p>
        </w:tc>
        <w:tc>
          <w:tcPr>
            <w:tcW w:w="4464" w:type="dxa"/>
            <w:tcBorders>
              <w:bottom w:val="single" w:sz="4" w:space="0" w:color="D3D3D3"/>
            </w:tcBorders>
          </w:tcPr>
          <w:p w14:paraId="56A05D15" w14:textId="77777777" w:rsidR="005A2D22" w:rsidRDefault="00B2578B">
            <w:pPr>
              <w:spacing w:after="80" w:line="276" w:lineRule="auto"/>
            </w:pPr>
            <w:r>
              <w:rPr>
                <w:sz w:val="19"/>
              </w:rPr>
              <w:t>Human Scope defines the foundational, cross-cultural value baselines as deterministic constraints, eliminating programmatic ambiguity.</w:t>
            </w:r>
          </w:p>
        </w:tc>
      </w:tr>
      <w:tr w:rsidR="005A2D22" w14:paraId="2C0CBA90" w14:textId="77777777">
        <w:trPr>
          <w:jc w:val="center"/>
        </w:trPr>
        <w:tc>
          <w:tcPr>
            <w:tcW w:w="1728" w:type="dxa"/>
            <w:tcBorders>
              <w:bottom w:val="single" w:sz="4" w:space="0" w:color="D3D3D3"/>
            </w:tcBorders>
            <w:shd w:val="clear" w:color="auto" w:fill="F4F6F8"/>
          </w:tcPr>
          <w:p w14:paraId="1B51D5A8" w14:textId="77777777" w:rsidR="005A2D22" w:rsidRDefault="00B2578B">
            <w:pPr>
              <w:spacing w:after="80" w:line="276" w:lineRule="auto"/>
            </w:pPr>
            <w:r>
              <w:rPr>
                <w:sz w:val="19"/>
              </w:rPr>
              <w:t>MAP</w:t>
            </w:r>
          </w:p>
        </w:tc>
        <w:tc>
          <w:tcPr>
            <w:tcW w:w="3168" w:type="dxa"/>
            <w:tcBorders>
              <w:bottom w:val="single" w:sz="4" w:space="0" w:color="D3D3D3"/>
            </w:tcBorders>
            <w:shd w:val="clear" w:color="auto" w:fill="F4F6F8"/>
          </w:tcPr>
          <w:p w14:paraId="2D7E4D6C" w14:textId="77777777" w:rsidR="005A2D22" w:rsidRDefault="00B2578B">
            <w:pPr>
              <w:spacing w:after="80" w:line="276" w:lineRule="auto"/>
            </w:pPr>
            <w:r>
              <w:rPr>
                <w:sz w:val="19"/>
              </w:rPr>
              <w:t>Identify context-specific risks, system limitations, and downstream sociotechnical impacts.</w:t>
            </w:r>
          </w:p>
        </w:tc>
        <w:tc>
          <w:tcPr>
            <w:tcW w:w="4464" w:type="dxa"/>
            <w:tcBorders>
              <w:bottom w:val="single" w:sz="4" w:space="0" w:color="D3D3D3"/>
            </w:tcBorders>
            <w:shd w:val="clear" w:color="auto" w:fill="F4F6F8"/>
          </w:tcPr>
          <w:p w14:paraId="616CF555" w14:textId="77777777" w:rsidR="005A2D22" w:rsidRDefault="00B2578B">
            <w:pPr>
              <w:spacing w:after="80" w:line="276" w:lineRule="auto"/>
            </w:pPr>
            <w:r>
              <w:rPr>
                <w:sz w:val="19"/>
              </w:rPr>
              <w:t>The Semantic OS categorizes and maps multi-dimensional risk factors into structural cognitive coordinates for exact contextual monitoring.</w:t>
            </w:r>
          </w:p>
        </w:tc>
      </w:tr>
      <w:tr w:rsidR="005A2D22" w14:paraId="44D4263E" w14:textId="77777777">
        <w:trPr>
          <w:jc w:val="center"/>
        </w:trPr>
        <w:tc>
          <w:tcPr>
            <w:tcW w:w="1728" w:type="dxa"/>
            <w:tcBorders>
              <w:bottom w:val="single" w:sz="4" w:space="0" w:color="D3D3D3"/>
            </w:tcBorders>
          </w:tcPr>
          <w:p w14:paraId="7F5DE360" w14:textId="77777777" w:rsidR="005A2D22" w:rsidRDefault="00B2578B">
            <w:pPr>
              <w:spacing w:after="80" w:line="276" w:lineRule="auto"/>
            </w:pPr>
            <w:r>
              <w:rPr>
                <w:sz w:val="19"/>
              </w:rPr>
              <w:t>MEASURE</w:t>
            </w:r>
          </w:p>
        </w:tc>
        <w:tc>
          <w:tcPr>
            <w:tcW w:w="3168" w:type="dxa"/>
            <w:tcBorders>
              <w:bottom w:val="single" w:sz="4" w:space="0" w:color="D3D3D3"/>
            </w:tcBorders>
          </w:tcPr>
          <w:p w14:paraId="4FE8DB80" w14:textId="77777777" w:rsidR="005A2D22" w:rsidRDefault="00B2578B">
            <w:pPr>
              <w:spacing w:after="80" w:line="276" w:lineRule="auto"/>
            </w:pPr>
            <w:r>
              <w:rPr>
                <w:sz w:val="19"/>
              </w:rPr>
              <w:t>Employ quantitative and qualitative metrics to evaluate system safety, accuracy, and reliability.</w:t>
            </w:r>
          </w:p>
        </w:tc>
        <w:tc>
          <w:tcPr>
            <w:tcW w:w="4464" w:type="dxa"/>
            <w:tcBorders>
              <w:bottom w:val="single" w:sz="4" w:space="0" w:color="D3D3D3"/>
            </w:tcBorders>
          </w:tcPr>
          <w:p w14:paraId="3339A0A2" w14:textId="77777777" w:rsidR="005A2D22" w:rsidRDefault="00B2578B">
            <w:pPr>
              <w:spacing w:after="80" w:line="276" w:lineRule="auto"/>
            </w:pPr>
            <w:r>
              <w:rPr>
                <w:sz w:val="19"/>
              </w:rPr>
              <w:t>Introduces the Semantic Deviation Score (SDS), an external mathematical metric calculating the precise distance between model behavior and the Human Scope grid.</w:t>
            </w:r>
          </w:p>
        </w:tc>
      </w:tr>
      <w:tr w:rsidR="005A2D22" w14:paraId="1A7B5CF3" w14:textId="77777777">
        <w:trPr>
          <w:jc w:val="center"/>
        </w:trPr>
        <w:tc>
          <w:tcPr>
            <w:tcW w:w="1728" w:type="dxa"/>
            <w:tcBorders>
              <w:bottom w:val="single" w:sz="4" w:space="0" w:color="D3D3D3"/>
            </w:tcBorders>
            <w:shd w:val="clear" w:color="auto" w:fill="F4F6F8"/>
          </w:tcPr>
          <w:p w14:paraId="19CBE5A1" w14:textId="77777777" w:rsidR="005A2D22" w:rsidRDefault="00B2578B">
            <w:pPr>
              <w:spacing w:after="80" w:line="276" w:lineRule="auto"/>
            </w:pPr>
            <w:r>
              <w:rPr>
                <w:sz w:val="19"/>
              </w:rPr>
              <w:t>MANAGE</w:t>
            </w:r>
          </w:p>
        </w:tc>
        <w:tc>
          <w:tcPr>
            <w:tcW w:w="3168" w:type="dxa"/>
            <w:tcBorders>
              <w:bottom w:val="single" w:sz="4" w:space="0" w:color="D3D3D3"/>
            </w:tcBorders>
            <w:shd w:val="clear" w:color="auto" w:fill="F4F6F8"/>
          </w:tcPr>
          <w:p w14:paraId="3E350171" w14:textId="77777777" w:rsidR="005A2D22" w:rsidRDefault="00B2578B">
            <w:pPr>
              <w:spacing w:after="80" w:line="276" w:lineRule="auto"/>
            </w:pPr>
            <w:r>
              <w:rPr>
                <w:sz w:val="19"/>
              </w:rPr>
              <w:t>Execute continuous risk mitigation, runtime fallback protocols, and system maintenance.</w:t>
            </w:r>
          </w:p>
        </w:tc>
        <w:tc>
          <w:tcPr>
            <w:tcW w:w="4464" w:type="dxa"/>
            <w:tcBorders>
              <w:bottom w:val="single" w:sz="4" w:space="0" w:color="D3D3D3"/>
            </w:tcBorders>
            <w:shd w:val="clear" w:color="auto" w:fill="F4F6F8"/>
          </w:tcPr>
          <w:p w14:paraId="12852F7C" w14:textId="77777777" w:rsidR="005A2D22" w:rsidRDefault="00B2578B">
            <w:pPr>
              <w:spacing w:after="80" w:line="276" w:lineRule="auto"/>
            </w:pPr>
            <w:r>
              <w:rPr>
                <w:sz w:val="19"/>
              </w:rPr>
              <w:t>Automates real-time regulatory compliance updates and dynamically adjusts fallback constraints based on continuous semantic telemetry.</w:t>
            </w:r>
          </w:p>
        </w:tc>
      </w:tr>
    </w:tbl>
    <w:p w14:paraId="09A992E6" w14:textId="77777777" w:rsidR="005A2D22" w:rsidRDefault="00B2578B">
      <w:pPr>
        <w:keepNext/>
        <w:spacing w:before="280" w:after="120"/>
      </w:pPr>
      <w:r>
        <w:rPr>
          <w:b/>
          <w:color w:val="5C768D"/>
          <w:sz w:val="24"/>
        </w:rPr>
        <w:lastRenderedPageBreak/>
        <w:t>2.2 ISO/IEC 42001:2023 (Artificial Intelligence Management System) Alignment</w:t>
      </w:r>
    </w:p>
    <w:p w14:paraId="49753302" w14:textId="77777777" w:rsidR="005A2D22" w:rsidRDefault="00B2578B">
      <w:r>
        <w:t>ISO/IEC 42001:2023 defines the global requirements for certifying an organizational Artificial Intelligence Management System (AIMS). HNS integrates natively into this standard by introducing a new operational dimension: Human-Centered Semantic Structure Management. Specifically, HNS enhances compliance across four mandatory clauses:</w:t>
      </w:r>
    </w:p>
    <w:p w14:paraId="3032A912" w14:textId="77777777" w:rsidR="005A2D22" w:rsidRDefault="00B2578B">
      <w:pPr>
        <w:pStyle w:val="a0"/>
        <w:spacing w:after="80"/>
      </w:pPr>
      <w:r>
        <w:rPr>
          <w:b/>
        </w:rPr>
        <w:t xml:space="preserve">Clause 6 (Planning - AI Risk Assessment): </w:t>
      </w:r>
      <w:r>
        <w:t>HNS enables organizations to establish objective criteria for assessing impacts on human dignity, cognitive autonomy, and cultural context by calculating non-linear semantic variations.</w:t>
      </w:r>
    </w:p>
    <w:p w14:paraId="228CED1C" w14:textId="77777777" w:rsidR="005A2D22" w:rsidRDefault="00B2578B">
      <w:pPr>
        <w:pStyle w:val="a0"/>
        <w:spacing w:after="80"/>
      </w:pPr>
      <w:r>
        <w:rPr>
          <w:b/>
        </w:rPr>
        <w:t xml:space="preserve">Clause 8 (Operation - AI System Transparency): </w:t>
      </w:r>
      <w:r>
        <w:t>By translating deep-layer mathematical neural activations into structured, human-legible HNS-36/144/864 coordinate coordinates, the framework fulfills rigorous technical documentation requirements.</w:t>
      </w:r>
    </w:p>
    <w:p w14:paraId="13710F49" w14:textId="77777777" w:rsidR="005A2D22" w:rsidRDefault="00B2578B">
      <w:pPr>
        <w:pStyle w:val="a0"/>
        <w:spacing w:after="80"/>
      </w:pPr>
      <w:r>
        <w:rPr>
          <w:b/>
        </w:rPr>
        <w:t xml:space="preserve">Clause 9 (Performance Evaluation - Accountability): </w:t>
      </w:r>
      <w:r>
        <w:t>Maintains tamper-proof, continuous cryptographic logs of the system's Semantic Deviation Score, creating legally defensible records for internal and external auditors.</w:t>
      </w:r>
    </w:p>
    <w:p w14:paraId="73641B43" w14:textId="77777777" w:rsidR="005A2D22" w:rsidRDefault="00B2578B">
      <w:pPr>
        <w:pStyle w:val="a0"/>
        <w:spacing w:after="80"/>
      </w:pPr>
      <w:r>
        <w:rPr>
          <w:b/>
        </w:rPr>
        <w:t xml:space="preserve">Clause 10 (Improvement - Human Oversight): </w:t>
      </w:r>
      <w:r>
        <w:t>Provides a physical, structural control dash enabling human controllers to dynamically recalibrate operational boundary conditions without needing to retrain underlying model parameters.</w:t>
      </w:r>
    </w:p>
    <w:p w14:paraId="6276DEEF" w14:textId="77777777" w:rsidR="005A2D22" w:rsidRDefault="00B2578B">
      <w:pPr>
        <w:keepNext/>
        <w:spacing w:before="280" w:after="120"/>
      </w:pPr>
      <w:r>
        <w:rPr>
          <w:b/>
          <w:color w:val="5C768D"/>
          <w:sz w:val="24"/>
        </w:rPr>
        <w:t>2.3 European Union AI Act Compliance</w:t>
      </w:r>
    </w:p>
    <w:p w14:paraId="055371EF" w14:textId="77777777" w:rsidR="005A2D22" w:rsidRDefault="00B2578B">
      <w:r>
        <w:t>The EU AI Act classifies AI systems based on strict risk tiers and mandates robust technical controls for High-Risk AI Systems (Article 6). HNS provides the technical infrastructure required to achieve bulletproof regulatory compliance:</w:t>
      </w:r>
    </w:p>
    <w:p w14:paraId="6D46A202" w14:textId="77777777" w:rsidR="005A2D22" w:rsidRDefault="00B2578B">
      <w:pPr>
        <w:pStyle w:val="a0"/>
        <w:spacing w:after="80"/>
      </w:pPr>
      <w:r>
        <w:rPr>
          <w:b/>
        </w:rPr>
        <w:t xml:space="preserve">Article 14 (Human Oversight): </w:t>
      </w:r>
      <w:r>
        <w:t>HNS creates an objective, machine-mediated oversight loop. If an AI system reaches an operational state where the Semantic Deviation Score breaks pre-set statutory thresholds, the HNS layer triggers an automated kill-switch or forces a safe rollback state.</w:t>
      </w:r>
    </w:p>
    <w:p w14:paraId="49C20BCE" w14:textId="77777777" w:rsidR="005A2D22" w:rsidRDefault="00B2578B">
      <w:pPr>
        <w:pStyle w:val="a0"/>
        <w:spacing w:after="80"/>
      </w:pPr>
      <w:r>
        <w:rPr>
          <w:b/>
        </w:rPr>
        <w:t xml:space="preserve">Article 13 (Transparency and Provision of Information): </w:t>
      </w:r>
      <w:r>
        <w:t>HNS transforms opaque model reasoning steps into clear, structured explanations of intent, proving to regulators exactly what contextual parameters informed a specific algorithmic decision.</w:t>
      </w:r>
    </w:p>
    <w:p w14:paraId="344BB906" w14:textId="77777777" w:rsidR="005A2D22" w:rsidRDefault="00B2578B">
      <w:pPr>
        <w:pStyle w:val="a0"/>
        <w:spacing w:after="80"/>
      </w:pPr>
      <w:r>
        <w:rPr>
          <w:b/>
        </w:rPr>
        <w:t xml:space="preserve">Article 10 (Data and Data Governance): </w:t>
      </w:r>
      <w:r>
        <w:t>Functions as an advanced semantic validation engine for data ingestion pipelines, checking training data against the Human Scope matrix to detect and filter out toxic patterns, biases, and structural distortions before they bias model training.</w:t>
      </w:r>
    </w:p>
    <w:p w14:paraId="5805F731" w14:textId="77777777" w:rsidR="005A2D22" w:rsidRDefault="00B2578B">
      <w:pPr>
        <w:pStyle w:val="a0"/>
        <w:spacing w:after="80"/>
      </w:pPr>
      <w:r>
        <w:rPr>
          <w:b/>
        </w:rPr>
        <w:t xml:space="preserve">Conformity Assessments (Article 43): </w:t>
      </w:r>
      <w:r>
        <w:t>The standardized, quantifiable reporting output of the HNS framework serves as comprehensive, mathematical proof of semantic quality assurance, drastically accelerating cross-border market conformity approvals.</w:t>
      </w:r>
    </w:p>
    <w:p w14:paraId="77E8EEBC" w14:textId="77777777" w:rsidR="005A2D22" w:rsidRDefault="00B2578B">
      <w:pPr>
        <w:keepNext/>
        <w:spacing w:before="280" w:after="120"/>
      </w:pPr>
      <w:r>
        <w:rPr>
          <w:b/>
          <w:color w:val="5C768D"/>
          <w:sz w:val="24"/>
        </w:rPr>
        <w:t>2.4 Frontier Model Safety Protocols (ASMP / RSP)</w:t>
      </w:r>
    </w:p>
    <w:p w14:paraId="3E1B9DA1" w14:textId="77777777" w:rsidR="005A2D22" w:rsidRDefault="00B2578B">
      <w:r>
        <w:t>For cutting-edge foundational models (Frontier AIs), leading labs utilize AI Safety Mitigation Protocols (ASMP) and Responsible Scaling Policies (RSP) to track catastrophic risk triggers (e.g., bio-weapon synthesis, autonomous duplication). HNS provides an unparalleled multi-tiered layer for frontier defense:</w:t>
      </w:r>
    </w:p>
    <w:p w14:paraId="447B02BA" w14:textId="77777777" w:rsidR="005A2D22" w:rsidRDefault="00B2578B">
      <w:pPr>
        <w:pStyle w:val="a0"/>
        <w:spacing w:after="40"/>
      </w:pPr>
      <w:r>
        <w:lastRenderedPageBreak/>
        <w:t>Real-Time Semantic Drift Detection: Monitors models for subtle, non-linear conceptual deviations across multi-turn long-context inputs, identifying hidden adversarial optimization techniques.</w:t>
      </w:r>
    </w:p>
    <w:p w14:paraId="3E248039" w14:textId="77777777" w:rsidR="005A2D22" w:rsidRDefault="00B2578B">
      <w:pPr>
        <w:pStyle w:val="a0"/>
        <w:spacing w:after="40"/>
      </w:pPr>
      <w:r>
        <w:t>Early Warning for Out-of-Scope Reasoning: Identifies when an autonomous agent begins constructing logic structures outside the bounded parameters of the Human Scope matrix before an unaligned physical action occurs.</w:t>
      </w:r>
    </w:p>
    <w:p w14:paraId="1957DEB4" w14:textId="77777777" w:rsidR="005A2D22" w:rsidRDefault="00B2578B">
      <w:pPr>
        <w:pStyle w:val="a0"/>
        <w:spacing w:after="40"/>
      </w:pPr>
      <w:r>
        <w:t>Deterministic Multi-Layer Value Alignment: Hardwires multi-layered structural invariants into the inference API, establishing an external verification layer (EVA) that functions as an absolute constraint on top of probabilistic base model weights.</w:t>
      </w:r>
    </w:p>
    <w:p w14:paraId="5B076A9E" w14:textId="77777777" w:rsidR="005A2D22" w:rsidRDefault="00B2578B">
      <w:pPr>
        <w:keepNext/>
        <w:spacing w:before="400" w:after="200"/>
      </w:pPr>
      <w:r>
        <w:rPr>
          <w:b/>
          <w:color w:val="1B365D"/>
          <w:sz w:val="28"/>
        </w:rPr>
        <w:t>3. HNS-Enabled AI Safety Protocols</w:t>
      </w:r>
    </w:p>
    <w:p w14:paraId="46921753" w14:textId="77777777" w:rsidR="005A2D22" w:rsidRDefault="00B2578B">
      <w:pPr>
        <w:keepNext/>
        <w:spacing w:before="280" w:after="120"/>
      </w:pPr>
      <w:r>
        <w:rPr>
          <w:b/>
          <w:color w:val="5C768D"/>
          <w:sz w:val="24"/>
        </w:rPr>
        <w:t>3.1 The Semantic Alignment Protocol (SAP)</w:t>
      </w:r>
    </w:p>
    <w:p w14:paraId="6D95A284" w14:textId="77777777" w:rsidR="005A2D22" w:rsidRDefault="00B2578B">
      <w:r>
        <w:t>The Semantic Alignment Protocol (SAP) serves as a real-time, deterministic verification architecture that checks system inferences against human cognitive structures. The protocol executes across five distinct operational phases:</w:t>
      </w:r>
    </w:p>
    <w:p w14:paraId="20889A37" w14:textId="77777777" w:rsidR="005A2D22" w:rsidRDefault="00B2578B">
      <w:pPr>
        <w:pStyle w:val="a0"/>
        <w:spacing w:after="80"/>
      </w:pPr>
      <w:r>
        <w:rPr>
          <w:b/>
        </w:rPr>
        <w:t xml:space="preserve">1. Establish the Human Scope Grid: </w:t>
      </w:r>
      <w:r>
        <w:t>Define the baseline values, behavioral rules, and semantic parameters utilizing standardized, machine-interpretable high-dimensional coordinate schemas.</w:t>
      </w:r>
    </w:p>
    <w:p w14:paraId="3390F7FD" w14:textId="77777777" w:rsidR="005A2D22" w:rsidRDefault="00B2578B">
      <w:pPr>
        <w:pStyle w:val="a0"/>
        <w:spacing w:after="80"/>
      </w:pPr>
      <w:r>
        <w:rPr>
          <w:b/>
        </w:rPr>
        <w:t xml:space="preserve">2. Real-Time Ingestion into the Semantic OS: </w:t>
      </w:r>
      <w:r>
        <w:t>Ingest continuous transactional prompts and generated model outputs directly into the SOHU runtime environment.</w:t>
      </w:r>
    </w:p>
    <w:p w14:paraId="5B866DBD" w14:textId="77777777" w:rsidR="005A2D22" w:rsidRDefault="00B2578B">
      <w:pPr>
        <w:pStyle w:val="a0"/>
        <w:spacing w:after="80"/>
      </w:pPr>
      <w:r>
        <w:rPr>
          <w:b/>
        </w:rPr>
        <w:t xml:space="preserve">3. Structural Semantic Deconstruction: </w:t>
      </w:r>
      <w:r>
        <w:t>Deconstruct the generative model's outputs into explicit and implicit structural concepts, mapping them cleanly to the HNS-36/144/864 coordinate matrices.</w:t>
      </w:r>
    </w:p>
    <w:p w14:paraId="4F2CDAC7" w14:textId="77777777" w:rsidR="005A2D22" w:rsidRDefault="00B2578B">
      <w:pPr>
        <w:pStyle w:val="a0"/>
        <w:spacing w:after="80"/>
      </w:pPr>
      <w:r>
        <w:rPr>
          <w:b/>
        </w:rPr>
        <w:t xml:space="preserve">4. Compute the Semantic Deviation Score (SDS): </w:t>
      </w:r>
      <w:r>
        <w:t>Apply advanced multidimensional distance algorithms to compute the precise mathematical variance between the generated output and the bounded Human Scope matrix.</w:t>
      </w:r>
    </w:p>
    <w:p w14:paraId="06D1EC72" w14:textId="77777777" w:rsidR="005A2D22" w:rsidRDefault="00B2578B">
      <w:pPr>
        <w:pStyle w:val="a0"/>
        <w:spacing w:after="80"/>
      </w:pPr>
      <w:r>
        <w:rPr>
          <w:b/>
        </w:rPr>
        <w:t xml:space="preserve">5. Execute Real-Time Corrective Feedback Loops: </w:t>
      </w:r>
      <w:r>
        <w:t>If the SDS remains within nominal parameters, the output is cleared for user delivery. If it breaches a critical safety threshold, the protocol blocks execution, flags the semantic drift anomaly, and runs immediate corrective steering inputs.</w:t>
      </w:r>
    </w:p>
    <w:p w14:paraId="3E689753" w14:textId="77777777" w:rsidR="005A2D22" w:rsidRDefault="00B2578B">
      <w:pPr>
        <w:keepNext/>
        <w:spacing w:before="280" w:after="120"/>
      </w:pPr>
      <w:r>
        <w:rPr>
          <w:b/>
          <w:color w:val="5C768D"/>
          <w:sz w:val="24"/>
        </w:rPr>
        <w:t>3.2 The Semantic Risk Assessment Framework (SRAF)</w:t>
      </w:r>
    </w:p>
    <w:p w14:paraId="4D8210AF" w14:textId="77777777" w:rsidR="005A2D22" w:rsidRDefault="00B2578B">
      <w:r>
        <w:t>Traditional IT security focuses almost entirely on functional vectors (e.g., system uptime, data encryption, API injection). HNS introduces a brand-new paradigm for evaluating non-functional, semantic vulnerabilities. The framework establishes five core Semantic Risk Classifications:</w:t>
      </w:r>
    </w:p>
    <w:p w14:paraId="11C6F8FF" w14:textId="77777777" w:rsidR="005A2D22" w:rsidRDefault="00B2578B">
      <w:pPr>
        <w:pStyle w:val="a0"/>
        <w:spacing w:after="80"/>
      </w:pPr>
      <w:r>
        <w:rPr>
          <w:b/>
        </w:rPr>
        <w:t xml:space="preserve">Semantic Misinterpretation: </w:t>
      </w:r>
      <w:r>
        <w:t>Occurs when an artificial agent maps a human prompt to an incorrect cognitive coordinate node, triggering misaligned down-stream automated tasks.</w:t>
      </w:r>
    </w:p>
    <w:p w14:paraId="194B05F0" w14:textId="77777777" w:rsidR="005A2D22" w:rsidRDefault="00B2578B">
      <w:pPr>
        <w:pStyle w:val="a0"/>
        <w:spacing w:after="80"/>
      </w:pPr>
      <w:r>
        <w:rPr>
          <w:b/>
        </w:rPr>
        <w:t xml:space="preserve">Contextual Over-Generalization: </w:t>
      </w:r>
      <w:r>
        <w:t>The application of a localized, highly context-specific human rule across broad, inappropriate domains, resulting in systemic operational errors.</w:t>
      </w:r>
    </w:p>
    <w:p w14:paraId="6E2F7D9C" w14:textId="77777777" w:rsidR="005A2D22" w:rsidRDefault="00B2578B">
      <w:pPr>
        <w:pStyle w:val="a0"/>
        <w:spacing w:after="80"/>
      </w:pPr>
      <w:r>
        <w:rPr>
          <w:b/>
        </w:rPr>
        <w:lastRenderedPageBreak/>
        <w:t xml:space="preserve">Omission of Latent Meaning: </w:t>
      </w:r>
      <w:r>
        <w:t>A critical failure mode where an AI system processes only surface-level syntactic structures while dropping essential, underlying cultural, emotional, or ethical contexts.</w:t>
      </w:r>
    </w:p>
    <w:p w14:paraId="2EF2B712" w14:textId="77777777" w:rsidR="005A2D22" w:rsidRDefault="00B2578B">
      <w:pPr>
        <w:pStyle w:val="a0"/>
        <w:spacing w:after="80"/>
      </w:pPr>
      <w:r>
        <w:rPr>
          <w:b/>
        </w:rPr>
        <w:t xml:space="preserve">Structural Value Inversion: </w:t>
      </w:r>
      <w:r>
        <w:t>An adversarial failure mode where complex, multi-layered reasoning chains subtly invert core human values while maintaining a surface-level appearance of safe compliance.</w:t>
      </w:r>
    </w:p>
    <w:p w14:paraId="3065E882" w14:textId="77777777" w:rsidR="005A2D22" w:rsidRDefault="00B2578B">
      <w:pPr>
        <w:pStyle w:val="a0"/>
        <w:spacing w:after="80"/>
      </w:pPr>
      <w:r>
        <w:rPr>
          <w:b/>
        </w:rPr>
        <w:t xml:space="preserve">Ambiguity-Induced Misguidance: </w:t>
      </w:r>
      <w:r>
        <w:t>The generation of structurally vague, ambiguous outputs that mislead human operators during high-stakes decision-making scenarios.</w:t>
      </w:r>
    </w:p>
    <w:p w14:paraId="50959B31" w14:textId="77777777" w:rsidR="005A2D22" w:rsidRDefault="00B2578B">
      <w:pPr>
        <w:keepNext/>
        <w:spacing w:before="280" w:after="120"/>
      </w:pPr>
      <w:r>
        <w:rPr>
          <w:b/>
          <w:color w:val="5C768D"/>
          <w:sz w:val="24"/>
        </w:rPr>
        <w:t>3.3 Human Scope Lifecycle and Cryptographic Versioning</w:t>
      </w:r>
    </w:p>
    <w:p w14:paraId="166F8A15" w14:textId="77777777" w:rsidR="005A2D22" w:rsidRDefault="00B2578B">
      <w:r>
        <w:t>Human cultures, socio-political laws, and institutional ethical standards are not static; they evolve. To prevent systemic ossification, HNS implements a dynamic lifecycle protocol for the Human Scope. Updates to coordinate grids are signed cryptographically and versioned sequentially via decentralised ledgers, ensuring complete provenance, tracking, and immutability of an enterprise's alignment history.</w:t>
      </w:r>
    </w:p>
    <w:p w14:paraId="501114F4" w14:textId="77777777" w:rsidR="005A2D22" w:rsidRDefault="00B2578B">
      <w:pPr>
        <w:keepNext/>
        <w:spacing w:before="400" w:after="200"/>
      </w:pPr>
      <w:r>
        <w:rPr>
          <w:b/>
          <w:color w:val="1B365D"/>
          <w:sz w:val="28"/>
        </w:rPr>
        <w:t>4. HNS Governance Layer Model</w:t>
      </w:r>
    </w:p>
    <w:p w14:paraId="3A5DBFDD" w14:textId="77777777" w:rsidR="005A2D22" w:rsidRDefault="00B2578B">
      <w:r>
        <w:t>To operationalize HNS within complex enterprise and state architectures, the system utilizes a five-tier decoupled Layered Architecture. This guarantees that semantic safety controls operate completely independently of the underlying hardware and infrastructure.</w:t>
      </w:r>
    </w:p>
    <w:p w14:paraId="3996585A" w14:textId="77777777" w:rsidR="005A2D22" w:rsidRDefault="00B2578B">
      <w:pPr>
        <w:spacing w:after="80"/>
        <w:ind w:left="288"/>
      </w:pPr>
      <w:r>
        <w:rPr>
          <w:b/>
        </w:rPr>
        <w:t xml:space="preserve">5. Institutional Layer (Laws, International Treaties, Social Contracts): </w:t>
      </w:r>
      <w:r>
        <w:t>Defines the fundamental global legal frameworks, human rights declarations, and high-level corporate governance mandates.</w:t>
      </w:r>
    </w:p>
    <w:p w14:paraId="57C85115" w14:textId="77777777" w:rsidR="005A2D22" w:rsidRDefault="00B2578B">
      <w:pPr>
        <w:spacing w:after="80"/>
        <w:ind w:left="288"/>
      </w:pPr>
      <w:r>
        <w:rPr>
          <w:b/>
        </w:rPr>
        <w:t xml:space="preserve">4. Value Layer (Ethics, Norms, Cultural Invariants): </w:t>
      </w:r>
      <w:r>
        <w:t>Translates institutional laws into concrete, cross-cultural ethical parameters, moral boundaries, and core localized societal values.</w:t>
      </w:r>
    </w:p>
    <w:p w14:paraId="3ADB6B0C" w14:textId="77777777" w:rsidR="005A2D22" w:rsidRDefault="00B2578B">
      <w:pPr>
        <w:spacing w:after="80"/>
        <w:ind w:left="288"/>
      </w:pPr>
      <w:r>
        <w:rPr>
          <w:b/>
        </w:rPr>
        <w:t xml:space="preserve">3. Semantic Layer / HNS Core (Structural OS, Coordinate Mapping): </w:t>
      </w:r>
      <w:r>
        <w:t>The critical translation engine. Converts qualitative human ethics and cultural values into quantifiable, machine-interpretable, multi-dimensional cognitive coordinates (HNS-36/144/864).</w:t>
      </w:r>
    </w:p>
    <w:p w14:paraId="0EA66BBA" w14:textId="77777777" w:rsidR="005A2D22" w:rsidRDefault="00B2578B">
      <w:pPr>
        <w:spacing w:after="80"/>
        <w:ind w:left="288"/>
      </w:pPr>
      <w:r>
        <w:rPr>
          <w:b/>
        </w:rPr>
        <w:t xml:space="preserve">2. Functional Layer (Model Inference, Dynamic Agent Orchestration): </w:t>
      </w:r>
      <w:r>
        <w:t>Handles the runtime computation of deep learning systems, agentic workflow scheduling, and token-generation sequences.</w:t>
      </w:r>
    </w:p>
    <w:p w14:paraId="217F732C" w14:textId="77777777" w:rsidR="005A2D22" w:rsidRDefault="00B2578B">
      <w:pPr>
        <w:spacing w:after="80"/>
        <w:ind w:left="288"/>
      </w:pPr>
      <w:r>
        <w:rPr>
          <w:b/>
        </w:rPr>
        <w:t xml:space="preserve">1. Physical Layer (Data Warehouses, GPU Compute Clusters, Network Infrastructure): </w:t>
      </w:r>
      <w:r>
        <w:t>The underlying silicon hardware, edge computing nodes, and raw text/multimodal training datasets.</w:t>
      </w:r>
    </w:p>
    <w:p w14:paraId="31722618" w14:textId="77777777" w:rsidR="005A2D22" w:rsidRDefault="00B2578B">
      <w:r>
        <w:t>By enforcing this precise abstraction hierarchy, HNS acts as the vital, machine-mediated semantic OS connecting raw physical computing systems with high-level human values and legally binding international governance structures.</w:t>
      </w:r>
    </w:p>
    <w:p w14:paraId="032C28A9" w14:textId="77777777" w:rsidR="005A2D22" w:rsidRDefault="00B2578B">
      <w:pPr>
        <w:keepNext/>
        <w:spacing w:before="400" w:after="200"/>
      </w:pPr>
      <w:r>
        <w:rPr>
          <w:b/>
          <w:color w:val="1B365D"/>
          <w:sz w:val="28"/>
        </w:rPr>
        <w:lastRenderedPageBreak/>
        <w:t>5. Roadmap for International Standardization</w:t>
      </w:r>
    </w:p>
    <w:p w14:paraId="502088E0" w14:textId="77777777" w:rsidR="005A2D22" w:rsidRDefault="00B2578B">
      <w:r>
        <w:t>Establishing HNS as a globally ubiquitous infrastructure layer requires a highly structured, phased rollout targeting major international standardization consortia.</w:t>
      </w:r>
    </w:p>
    <w:p w14:paraId="0B2FDD09" w14:textId="77777777" w:rsidR="005A2D22" w:rsidRDefault="00B2578B">
      <w:pPr>
        <w:keepNext/>
        <w:spacing w:before="280" w:after="120"/>
      </w:pPr>
      <w:r>
        <w:rPr>
          <w:b/>
          <w:color w:val="5C768D"/>
          <w:sz w:val="24"/>
        </w:rPr>
        <w:t>Phase 1 (0–1 Year): Conceptual Consolidation &amp; Taxonomy</w:t>
      </w:r>
    </w:p>
    <w:p w14:paraId="463F5CB7" w14:textId="77777777" w:rsidR="005A2D22" w:rsidRDefault="00B2578B">
      <w:r>
        <w:t>Focuses on compiling formal mappings of HNS across international safety frameworks and establishing a standardized, cross-industry semantic risk taxonomy.</w:t>
      </w:r>
    </w:p>
    <w:p w14:paraId="07D4A609" w14:textId="77777777" w:rsidR="005A2D22" w:rsidRDefault="00B2578B">
      <w:pPr>
        <w:keepNext/>
        <w:spacing w:before="280" w:after="120"/>
      </w:pPr>
      <w:r>
        <w:rPr>
          <w:b/>
          <w:color w:val="5C768D"/>
          <w:sz w:val="24"/>
        </w:rPr>
        <w:t>Phase 2 (1–3 Years): Technical Specification &amp; API Standardization</w:t>
      </w:r>
    </w:p>
    <w:p w14:paraId="03F25AAD" w14:textId="77777777" w:rsidR="005A2D22" w:rsidRDefault="00B2578B">
      <w:r>
        <w:t>Focuses on formalizing open-source API specifications for the SOHU runtime environment, standardizing the mathematical algorithms for the Semantic Deviation Score, and releasing the Human Scope exchange format as a globally standardized JSON-LD schema.</w:t>
      </w:r>
    </w:p>
    <w:p w14:paraId="038D4331" w14:textId="77777777" w:rsidR="005A2D22" w:rsidRDefault="00B2578B">
      <w:pPr>
        <w:keepNext/>
        <w:spacing w:before="280" w:after="120"/>
      </w:pPr>
      <w:r>
        <w:rPr>
          <w:b/>
          <w:color w:val="5C768D"/>
          <w:sz w:val="24"/>
        </w:rPr>
        <w:t>Phase 3 (3–5 Years): Global Standardization &amp; Treaty Integration</w:t>
      </w:r>
    </w:p>
    <w:p w14:paraId="5D5765F2" w14:textId="77777777" w:rsidR="005A2D22" w:rsidRDefault="00B2578B">
      <w:r>
        <w:t>Submits formal, standardized proposals to ISO/IEC JTC 1/SC 42 (specifically targeting a new sub-project under the ISO/IEC 22989 and ISO/IEC 42001 series) and CEN/CENELEC JTC 21. Drives full integration with the G7 Hiroshima AI Process and aligns corporate framework benchmarks with the OECD AI Principles.</w:t>
      </w:r>
    </w:p>
    <w:p w14:paraId="7CEEE920" w14:textId="77777777" w:rsidR="005A2D22" w:rsidRDefault="00B2578B">
      <w:pPr>
        <w:keepNext/>
        <w:spacing w:before="400" w:after="200"/>
      </w:pPr>
      <w:r>
        <w:rPr>
          <w:b/>
          <w:color w:val="1B365D"/>
          <w:sz w:val="28"/>
        </w:rPr>
        <w:t>6. Future Research Directions</w:t>
      </w:r>
    </w:p>
    <w:p w14:paraId="74726642" w14:textId="77777777" w:rsidR="005A2D22" w:rsidRDefault="00B2578B">
      <w:r>
        <w:t>To achieve full scale, the global HNS research community must prioritize four main technical tracks:</w:t>
      </w:r>
    </w:p>
    <w:p w14:paraId="63C9F912" w14:textId="77777777" w:rsidR="005A2D22" w:rsidRDefault="00B2578B">
      <w:pPr>
        <w:pStyle w:val="a0"/>
        <w:spacing w:after="80"/>
      </w:pPr>
      <w:r>
        <w:t>Automated Invariant Extraction: Engineering specialized, lightweight transformer architectures optimized specifically to parse unstructured human cultural datasets and auto-generate clean Human Scope coordinate matrices.</w:t>
      </w:r>
    </w:p>
    <w:p w14:paraId="5665148F" w14:textId="77777777" w:rsidR="005A2D22" w:rsidRDefault="00B2578B">
      <w:pPr>
        <w:pStyle w:val="a0"/>
        <w:spacing w:after="80"/>
      </w:pPr>
      <w:r>
        <w:t>Cross-Cultural Human Scope Modeling: Researching non-Euclidean geometric coordinate systems capable of mapping overlapping, intersecting, and sometimes conflicting international value systems without losing structural coherence.</w:t>
      </w:r>
    </w:p>
    <w:p w14:paraId="7ED296CD" w14:textId="77777777" w:rsidR="005A2D22" w:rsidRDefault="00B2578B">
      <w:pPr>
        <w:pStyle w:val="a0"/>
        <w:spacing w:after="80"/>
      </w:pPr>
      <w:r>
        <w:t>Semantic Behavior Visualization: Developing real-time 3D spatial user interfaces allowing human compliance officers to visually inspect an active model's activation trajectories through the HNS-864 coordinate grid.</w:t>
      </w:r>
    </w:p>
    <w:p w14:paraId="6FF0230B" w14:textId="77777777" w:rsidR="005A2D22" w:rsidRDefault="00B2578B">
      <w:pPr>
        <w:pStyle w:val="a0"/>
        <w:spacing w:after="80"/>
      </w:pPr>
      <w:r>
        <w:t>Empirical Alignment Quantification: Designing advanced statistical proofs and validation protocols to formally demonstrate the exact reduction in model hallucination frequencies when bounded by external HNS architectures.</w:t>
      </w:r>
    </w:p>
    <w:p w14:paraId="6A7D3E7A" w14:textId="77777777" w:rsidR="005A2D22" w:rsidRDefault="00B2578B">
      <w:pPr>
        <w:keepNext/>
        <w:spacing w:before="400" w:after="200"/>
      </w:pPr>
      <w:r>
        <w:rPr>
          <w:b/>
          <w:color w:val="1B365D"/>
          <w:sz w:val="28"/>
        </w:rPr>
        <w:t>7. Conclusion</w:t>
      </w:r>
    </w:p>
    <w:p w14:paraId="61D2B44C" w14:textId="77777777" w:rsidR="005A2D22" w:rsidRDefault="00B2578B">
      <w:r>
        <w:t xml:space="preserve">The Human Natural Structure (HNS) architecture delivers the critical, missing semantic foundation required to achieve absolute safety and transparent governance in the AI era. By integrating HNS as a deterministic external verification layer over modern probabilistic models, the global community can </w:t>
      </w:r>
      <w:r>
        <w:lastRenderedPageBreak/>
        <w:t>significantly strengthen value alignment, decrypt complex model interpretability, mitigate hidden semantic risks, and build un-precedented institutional transparency.</w:t>
      </w:r>
    </w:p>
    <w:p w14:paraId="6B5BA99D" w14:textId="77777777" w:rsidR="005A2D22" w:rsidRDefault="00B2578B">
      <w:r>
        <w:t>HNS does not seek to replace existing regulatory frameworks like the NIST AI RMF, ISO/IEC 42001, or the EU AI Act. Instead, it serves as the precise, machine-interpretable semantic engine that makes these higher-level systems complete, actionable, and mathematically verifiable.</w:t>
      </w:r>
    </w:p>
    <w:p w14:paraId="3686DC5B" w14:textId="77777777" w:rsidR="005A2D22" w:rsidRDefault="00B2578B">
      <w:pPr>
        <w:keepNext/>
        <w:spacing w:before="400" w:after="200"/>
      </w:pPr>
      <w:r>
        <w:rPr>
          <w:b/>
          <w:color w:val="1B365D"/>
          <w:sz w:val="28"/>
        </w:rPr>
        <w:t>References</w:t>
      </w:r>
    </w:p>
    <w:p w14:paraId="6EC04D52" w14:textId="77777777" w:rsidR="005A2D22" w:rsidRDefault="00B2578B">
      <w:pPr>
        <w:spacing w:after="80"/>
        <w:ind w:left="360" w:hanging="360"/>
      </w:pPr>
      <w:r>
        <w:t>[1] National Institute of Standards and Technology. (2023). AI Risk Management Framework (AI RMF 1.0). NIST Special Publication.</w:t>
      </w:r>
    </w:p>
    <w:p w14:paraId="626340D1" w14:textId="77777777" w:rsidR="005A2D22" w:rsidRDefault="00B2578B">
      <w:pPr>
        <w:spacing w:after="80"/>
        <w:ind w:left="360" w:hanging="360"/>
      </w:pPr>
      <w:r>
        <w:t>[2] International Organization for Standardization / International Electrotechnical Commission. (2023). ISO/IEC 42001:2023 - Information technology — Artificial intelligence — Management system. Geneva, Switzerland.</w:t>
      </w:r>
    </w:p>
    <w:p w14:paraId="14BA7FD9" w14:textId="77777777" w:rsidR="005A2D22" w:rsidRDefault="00B2578B">
      <w:pPr>
        <w:spacing w:after="80"/>
        <w:ind w:left="360" w:hanging="360"/>
      </w:pPr>
      <w:r>
        <w:t>[3] European Parliament and Council of the European Union. (2024). Regulation (EU) 2024/XXX of the European Parliament and of the Council laying down harmonised rules on artificial intelligence (Artificial Intelligence Act).</w:t>
      </w:r>
    </w:p>
    <w:p w14:paraId="51C76D37" w14:textId="77777777" w:rsidR="005A2D22" w:rsidRDefault="00B2578B">
      <w:pPr>
        <w:spacing w:after="80"/>
        <w:ind w:left="360" w:hanging="360"/>
      </w:pPr>
      <w:r>
        <w:t>[4] Hara, S. (2026). Human Natural Structure (HNS) Technical Specification Manual: Full-Stack Core Coordinates (HNS-36/144/864). Natural Architecture Works (NAW).</w:t>
      </w:r>
    </w:p>
    <w:p w14:paraId="6AB5B876" w14:textId="77777777" w:rsidR="005A2D22" w:rsidRDefault="00B2578B">
      <w:pPr>
        <w:spacing w:after="80"/>
        <w:ind w:left="360" w:hanging="360"/>
      </w:pPr>
      <w:r>
        <w:t>[5] ISO/IEC JTC 1/SC 42. (2022). ISO/IEC 22989:2022 - Information technology — Artificial intelligence — Concepts and terminology.</w:t>
      </w:r>
    </w:p>
    <w:p w14:paraId="58726CC5" w14:textId="77777777" w:rsidR="005A2D22" w:rsidRDefault="00B2578B">
      <w:pPr>
        <w:spacing w:after="80"/>
        <w:ind w:left="360" w:hanging="360"/>
      </w:pPr>
      <w:r>
        <w:t>[6] OECD. (2019). Recommendation of the Council on Artificial Intelligence. OECD/LEGAL/0449.</w:t>
      </w:r>
    </w:p>
    <w:sectPr w:rsidR="005A2D22"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5AD1B" w14:textId="77777777" w:rsidR="007023BF" w:rsidRDefault="007023BF" w:rsidP="00C1179E">
      <w:pPr>
        <w:spacing w:after="0" w:line="240" w:lineRule="auto"/>
      </w:pPr>
      <w:r>
        <w:separator/>
      </w:r>
    </w:p>
  </w:endnote>
  <w:endnote w:type="continuationSeparator" w:id="0">
    <w:p w14:paraId="67E5A654" w14:textId="77777777" w:rsidR="007023BF" w:rsidRDefault="007023BF" w:rsidP="00C11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09A6D975-0BD3-4152-988D-3FB8739D1589}"/>
  </w:font>
  <w:font w:name="Times New Roman">
    <w:panose1 w:val="02020603050405020304"/>
    <w:charset w:val="00"/>
    <w:family w:val="roman"/>
    <w:pitch w:val="variable"/>
    <w:sig w:usb0="E0002EFF" w:usb1="C000785B" w:usb2="00000009" w:usb3="00000000" w:csb0="000001FF" w:csb1="00000000"/>
    <w:embedRegular r:id="rId2" w:fontKey="{45516970-C75B-4598-97F6-BAB84CB6F563}"/>
    <w:embedBold r:id="rId3" w:fontKey="{426EA5DE-3DD7-4C3E-8456-992E0C7BE1EF}"/>
    <w:embedItalic r:id="rId4" w:fontKey="{4C69F9FC-840F-4DC2-B60D-603B7A1658C7}"/>
    <w:embedBoldItalic r:id="rId5" w:fontKey="{24C03673-EEE6-43D5-8CEF-12343360D118}"/>
  </w:font>
  <w:font w:name="Cambria">
    <w:panose1 w:val="02040503050406030204"/>
    <w:charset w:val="00"/>
    <w:family w:val="roman"/>
    <w:pitch w:val="variable"/>
    <w:sig w:usb0="E00006FF" w:usb1="420024FF" w:usb2="02000000" w:usb3="00000000" w:csb0="0000019F" w:csb1="00000000"/>
    <w:embedRegular r:id="rId6" w:fontKey="{E5A34D46-A57C-4808-82BC-7F23700CA380}"/>
    <w:embedBold r:id="rId7" w:fontKey="{64086EF5-5263-473E-92AF-2F9DCAB1C3B9}"/>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12549BF3-7C13-43D8-871F-B72FF2BBA739}"/>
    <w:embedBold r:id="rId9" w:fontKey="{8A0DD286-7B6D-49B5-B1AC-389FA4F34E36}"/>
    <w:embedItalic r:id="rId10" w:fontKey="{2C2B4B99-7088-4D4C-AE73-87EA55A763E9}"/>
    <w:embedBoldItalic r:id="rId11" w:fontKey="{305BAEF3-571B-4525-80E0-A2B9A596FBCB}"/>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74A5" w14:textId="77777777" w:rsidR="007023BF" w:rsidRDefault="007023BF" w:rsidP="00C1179E">
      <w:pPr>
        <w:spacing w:after="0" w:line="240" w:lineRule="auto"/>
      </w:pPr>
      <w:r>
        <w:separator/>
      </w:r>
    </w:p>
  </w:footnote>
  <w:footnote w:type="continuationSeparator" w:id="0">
    <w:p w14:paraId="2EB8F036" w14:textId="77777777" w:rsidR="007023BF" w:rsidRDefault="007023BF" w:rsidP="00C11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9796938">
    <w:abstractNumId w:val="8"/>
  </w:num>
  <w:num w:numId="2" w16cid:durableId="1572888987">
    <w:abstractNumId w:val="6"/>
  </w:num>
  <w:num w:numId="3" w16cid:durableId="1347367488">
    <w:abstractNumId w:val="5"/>
  </w:num>
  <w:num w:numId="4" w16cid:durableId="319621121">
    <w:abstractNumId w:val="4"/>
  </w:num>
  <w:num w:numId="5" w16cid:durableId="313215922">
    <w:abstractNumId w:val="7"/>
  </w:num>
  <w:num w:numId="6" w16cid:durableId="755125995">
    <w:abstractNumId w:val="3"/>
  </w:num>
  <w:num w:numId="7" w16cid:durableId="43679311">
    <w:abstractNumId w:val="2"/>
  </w:num>
  <w:num w:numId="8" w16cid:durableId="1709718504">
    <w:abstractNumId w:val="1"/>
  </w:num>
  <w:num w:numId="9" w16cid:durableId="108549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6AE"/>
    <w:rsid w:val="005A2D22"/>
    <w:rsid w:val="005C06E7"/>
    <w:rsid w:val="007023BF"/>
    <w:rsid w:val="00AA1D8D"/>
    <w:rsid w:val="00B2578B"/>
    <w:rsid w:val="00B47730"/>
    <w:rsid w:val="00C117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EE587E0"/>
  <w14:defaultImageDpi w14:val="330"/>
  <w15:docId w15:val="{52DB5C7D-7DCB-4FDF-811E-4F1B2D54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Times New Roman" w:hAnsi="Times New Roman"/>
      <w:color w:val="11111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2582</Words>
  <Characters>14723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3</cp:revision>
  <dcterms:created xsi:type="dcterms:W3CDTF">2013-12-23T23:15:00Z</dcterms:created>
  <dcterms:modified xsi:type="dcterms:W3CDTF">2026-05-24T18:31:00Z</dcterms:modified>
  <cp:category/>
</cp:coreProperties>
</file>