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EVA-HNS Canonical Overview v1.0</w:t>
      </w:r>
    </w:p>
    <w:p>
      <w:pPr>
        <w:jc w:val="center"/>
      </w:pPr>
      <w:r>
        <w:rPr>
          <w:i/>
          <w:sz w:val="24"/>
        </w:rPr>
        <w:t>A Structural Full-Stack Architecture for Human Understanding and External AI Verification</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Field</w:t>
            </w:r>
          </w:p>
        </w:tc>
        <w:tc>
          <w:tcPr>
            <w:tcW w:type="dxa" w:w="5040"/>
            <w:vAlign w:val="top"/>
            <w:shd w:fill="D9EAF7"/>
          </w:tcPr>
          <w:p>
            <w:r/>
            <w:r>
              <w:rPr>
                <w:b/>
                <w:sz w:val="18"/>
              </w:rPr>
              <w:t>Value</w:t>
            </w:r>
          </w:p>
        </w:tc>
      </w:tr>
      <w:tr>
        <w:tc>
          <w:tcPr>
            <w:tcW w:type="dxa" w:w="5040"/>
            <w:vAlign w:val="top"/>
          </w:tcPr>
          <w:p>
            <w:r/>
            <w:r>
              <w:rPr>
                <w:b w:val="0"/>
                <w:sz w:val="18"/>
              </w:rPr>
              <w:t>Author</w:t>
            </w:r>
          </w:p>
        </w:tc>
        <w:tc>
          <w:tcPr>
            <w:tcW w:type="dxa" w:w="5040"/>
            <w:vAlign w:val="top"/>
          </w:tcPr>
          <w:p>
            <w:r/>
            <w:r>
              <w:rPr>
                <w:b w:val="0"/>
                <w:sz w:val="18"/>
              </w:rPr>
              <w:t>Satoru Hara / Natural Structure Works (NSW)</w:t>
            </w:r>
          </w:p>
        </w:tc>
      </w:tr>
      <w:tr>
        <w:tc>
          <w:tcPr>
            <w:tcW w:type="dxa" w:w="5040"/>
            <w:vAlign w:val="top"/>
          </w:tcPr>
          <w:p>
            <w:r/>
            <w:r>
              <w:rPr>
                <w:b w:val="0"/>
                <w:sz w:val="18"/>
              </w:rPr>
              <w:t>Version</w:t>
            </w:r>
          </w:p>
        </w:tc>
        <w:tc>
          <w:tcPr>
            <w:tcW w:type="dxa" w:w="5040"/>
            <w:vAlign w:val="top"/>
          </w:tcPr>
          <w:p>
            <w:r/>
            <w:r>
              <w:rPr>
                <w:b w:val="0"/>
                <w:sz w:val="18"/>
              </w:rPr>
              <w:t>v1.0</w:t>
            </w:r>
          </w:p>
        </w:tc>
      </w:tr>
      <w:tr>
        <w:tc>
          <w:tcPr>
            <w:tcW w:type="dxa" w:w="5040"/>
            <w:vAlign w:val="top"/>
          </w:tcPr>
          <w:p>
            <w:r/>
            <w:r>
              <w:rPr>
                <w:b w:val="0"/>
                <w:sz w:val="18"/>
              </w:rPr>
              <w:t>Status</w:t>
            </w:r>
          </w:p>
        </w:tc>
        <w:tc>
          <w:tcPr>
            <w:tcW w:type="dxa" w:w="5040"/>
            <w:vAlign w:val="top"/>
          </w:tcPr>
          <w:p>
            <w:r/>
            <w:r>
              <w:rPr>
                <w:b w:val="0"/>
                <w:sz w:val="18"/>
              </w:rPr>
              <w:t>Author-led reference document / not a formal standard</w:t>
            </w:r>
          </w:p>
        </w:tc>
      </w:tr>
      <w:tr>
        <w:tc>
          <w:tcPr>
            <w:tcW w:type="dxa" w:w="5040"/>
            <w:vAlign w:val="top"/>
          </w:tcPr>
          <w:p>
            <w:r/>
            <w:r>
              <w:rPr>
                <w:b w:val="0"/>
                <w:sz w:val="18"/>
              </w:rPr>
              <w:t>Related Corpus</w:t>
            </w:r>
          </w:p>
        </w:tc>
        <w:tc>
          <w:tcPr>
            <w:tcW w:type="dxa" w:w="5040"/>
            <w:vAlign w:val="top"/>
          </w:tcPr>
          <w:p>
            <w:r/>
            <w:r>
              <w:rPr>
                <w:b w:val="0"/>
                <w:sz w:val="18"/>
              </w:rPr>
              <w:t>Human Natural Structure Series (Six-Part Publication Set)</w:t>
            </w:r>
          </w:p>
        </w:tc>
      </w:tr>
      <w:tr>
        <w:tc>
          <w:tcPr>
            <w:tcW w:type="dxa" w:w="5040"/>
            <w:vAlign w:val="top"/>
          </w:tcPr>
          <w:p>
            <w:r/>
            <w:r>
              <w:rPr>
                <w:b w:val="0"/>
                <w:sz w:val="18"/>
              </w:rPr>
              <w:t>Date</w:t>
            </w:r>
          </w:p>
        </w:tc>
        <w:tc>
          <w:tcPr>
            <w:tcW w:type="dxa" w:w="5040"/>
            <w:vAlign w:val="top"/>
          </w:tcPr>
          <w:p>
            <w:r/>
            <w:r>
              <w:rPr>
                <w:b w:val="0"/>
                <w:sz w:val="18"/>
              </w:rPr>
              <w:t>2026-06-10</w:t>
            </w:r>
          </w:p>
        </w:tc>
      </w:tr>
    </w:tbl>
    <w:p/>
    <w:p>
      <w:r>
        <w:rPr>
          <w:b/>
        </w:rPr>
        <w:t xml:space="preserve">Status Notice. </w:t>
      </w:r>
      <w:r>
        <w:t>This document is part of the author's own research and publication program. It is not an ISO, IEC, SC42, IEEE, NIST, CEN/CENELEC, or governmental standard. It is provided as a structured reference for review, discussion, implementation planning, and future independent validation.</w:t>
      </w:r>
    </w:p>
    <w:p>
      <w:r>
        <w:br w:type="page"/>
      </w:r>
    </w:p>
    <w:p>
      <w:pPr>
        <w:pStyle w:val="Heading1"/>
      </w:pPr>
      <w:r>
        <w:t>1. Purpose</w:t>
      </w:r>
    </w:p>
    <w:p>
      <w:r>
        <w:t>This overview provides a compact canonical entry point to the EVA-HNS architecture. It connects the Human Natural Structure six-part series with the seven PoC package and explains how the framework can be read, tested, cited, and extended without overstating its current evidentiary status.</w:t>
      </w:r>
    </w:p>
    <w:p>
      <w:pPr>
        <w:pStyle w:val="Heading1"/>
      </w:pPr>
      <w:r>
        <w:t>2. One-Sentence Definition</w:t>
      </w:r>
    </w:p>
    <w:p>
      <w:r>
        <w:rPr>
          <w:b/>
        </w:rPr>
        <w:t>EVA-HNS is a model-agnostic, externally verifiable structural architecture that combines HNS coordinates, SMS-6 grounding, EVA audit logging, and conformance-oriented evaluation to make AI output review more interpretable, traceable, and auditable.</w:t>
      </w:r>
    </w:p>
    <w:p>
      <w:pPr>
        <w:pStyle w:val="Heading1"/>
      </w:pPr>
      <w:r>
        <w:t>3. Architecture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Layer</w:t>
            </w:r>
          </w:p>
        </w:tc>
        <w:tc>
          <w:tcPr>
            <w:tcW w:type="dxa" w:w="3360"/>
            <w:vAlign w:val="top"/>
            <w:shd w:fill="D9EAF7"/>
          </w:tcPr>
          <w:p>
            <w:r/>
            <w:r>
              <w:rPr>
                <w:b/>
                <w:sz w:val="18"/>
              </w:rPr>
              <w:t>Role</w:t>
            </w:r>
          </w:p>
        </w:tc>
        <w:tc>
          <w:tcPr>
            <w:tcW w:type="dxa" w:w="3360"/>
            <w:vAlign w:val="top"/>
            <w:shd w:fill="D9EAF7"/>
          </w:tcPr>
          <w:p>
            <w:r/>
            <w:r>
              <w:rPr>
                <w:b/>
                <w:sz w:val="18"/>
              </w:rPr>
              <w:t>Primary Function</w:t>
            </w:r>
          </w:p>
        </w:tc>
      </w:tr>
      <w:tr>
        <w:tc>
          <w:tcPr>
            <w:tcW w:type="dxa" w:w="3360"/>
            <w:vAlign w:val="top"/>
          </w:tcPr>
          <w:p>
            <w:r/>
            <w:r>
              <w:rPr>
                <w:b w:val="0"/>
                <w:sz w:val="18"/>
              </w:rPr>
              <w:t>HNS-36</w:t>
            </w:r>
          </w:p>
        </w:tc>
        <w:tc>
          <w:tcPr>
            <w:tcW w:type="dxa" w:w="3360"/>
            <w:vAlign w:val="top"/>
          </w:tcPr>
          <w:p>
            <w:r/>
            <w:r>
              <w:rPr>
                <w:b w:val="0"/>
                <w:sz w:val="18"/>
              </w:rPr>
              <w:t>Base coordinate system</w:t>
            </w:r>
          </w:p>
        </w:tc>
        <w:tc>
          <w:tcPr>
            <w:tcW w:type="dxa" w:w="3360"/>
            <w:vAlign w:val="top"/>
          </w:tcPr>
          <w:p>
            <w:r/>
            <w:r>
              <w:rPr>
                <w:b w:val="0"/>
                <w:sz w:val="18"/>
              </w:rPr>
              <w:t>Maps output to Natural Layers and Abstract Categories.</w:t>
            </w:r>
          </w:p>
        </w:tc>
      </w:tr>
      <w:tr>
        <w:tc>
          <w:tcPr>
            <w:tcW w:type="dxa" w:w="3360"/>
            <w:vAlign w:val="top"/>
          </w:tcPr>
          <w:p>
            <w:r/>
            <w:r>
              <w:rPr>
                <w:b w:val="0"/>
                <w:sz w:val="18"/>
              </w:rPr>
              <w:t>HNS-144</w:t>
            </w:r>
          </w:p>
        </w:tc>
        <w:tc>
          <w:tcPr>
            <w:tcW w:type="dxa" w:w="3360"/>
            <w:vAlign w:val="top"/>
          </w:tcPr>
          <w:p>
            <w:r/>
            <w:r>
              <w:rPr>
                <w:b w:val="0"/>
                <w:sz w:val="18"/>
              </w:rPr>
              <w:t>Observational extension</w:t>
            </w:r>
          </w:p>
        </w:tc>
        <w:tc>
          <w:tcPr>
            <w:tcW w:type="dxa" w:w="3360"/>
            <w:vAlign w:val="top"/>
          </w:tcPr>
          <w:p>
            <w:r/>
            <w:r>
              <w:rPr>
                <w:b w:val="0"/>
                <w:sz w:val="18"/>
              </w:rPr>
              <w:t>Adds onto-modal quadrants: subjective/objective and necessary/contingent.</w:t>
            </w:r>
          </w:p>
        </w:tc>
      </w:tr>
      <w:tr>
        <w:tc>
          <w:tcPr>
            <w:tcW w:type="dxa" w:w="3360"/>
            <w:vAlign w:val="top"/>
          </w:tcPr>
          <w:p>
            <w:r/>
            <w:r>
              <w:rPr>
                <w:b w:val="0"/>
                <w:sz w:val="18"/>
              </w:rPr>
              <w:t>HNS-864</w:t>
            </w:r>
          </w:p>
        </w:tc>
        <w:tc>
          <w:tcPr>
            <w:tcW w:type="dxa" w:w="3360"/>
            <w:vAlign w:val="top"/>
          </w:tcPr>
          <w:p>
            <w:r/>
            <w:r>
              <w:rPr>
                <w:b w:val="0"/>
                <w:sz w:val="18"/>
              </w:rPr>
              <w:t>Analytical extension</w:t>
            </w:r>
          </w:p>
        </w:tc>
        <w:tc>
          <w:tcPr>
            <w:tcW w:type="dxa" w:w="3360"/>
            <w:vAlign w:val="top"/>
          </w:tcPr>
          <w:p>
            <w:r/>
            <w:r>
              <w:rPr>
                <w:b w:val="0"/>
                <w:sz w:val="18"/>
              </w:rPr>
              <w:t>Identifies inference and control operators such as conditioning, intervention, counterfactual, comparator, and attenuation.</w:t>
            </w:r>
          </w:p>
        </w:tc>
      </w:tr>
      <w:tr>
        <w:tc>
          <w:tcPr>
            <w:tcW w:type="dxa" w:w="3360"/>
            <w:vAlign w:val="top"/>
          </w:tcPr>
          <w:p>
            <w:r/>
            <w:r>
              <w:rPr>
                <w:b w:val="0"/>
                <w:sz w:val="18"/>
              </w:rPr>
              <w:t>HNS-SMS-6</w:t>
            </w:r>
          </w:p>
        </w:tc>
        <w:tc>
          <w:tcPr>
            <w:tcW w:type="dxa" w:w="3360"/>
            <w:vAlign w:val="top"/>
          </w:tcPr>
          <w:p>
            <w:r/>
            <w:r>
              <w:rPr>
                <w:b w:val="0"/>
                <w:sz w:val="18"/>
              </w:rPr>
              <w:t>Grounding axis</w:t>
            </w:r>
          </w:p>
        </w:tc>
        <w:tc>
          <w:tcPr>
            <w:tcW w:type="dxa" w:w="3360"/>
            <w:vAlign w:val="top"/>
          </w:tcPr>
          <w:p>
            <w:r/>
            <w:r>
              <w:rPr>
                <w:b w:val="0"/>
                <w:sz w:val="18"/>
              </w:rPr>
              <w:t>Checks whether output remains grounded across somatic, protocol, organizational, economic, governance, and universal layers.</w:t>
            </w:r>
          </w:p>
        </w:tc>
      </w:tr>
      <w:tr>
        <w:tc>
          <w:tcPr>
            <w:tcW w:type="dxa" w:w="3360"/>
            <w:vAlign w:val="top"/>
          </w:tcPr>
          <w:p>
            <w:r/>
            <w:r>
              <w:rPr>
                <w:b w:val="0"/>
                <w:sz w:val="18"/>
              </w:rPr>
              <w:t>EVA</w:t>
            </w:r>
          </w:p>
        </w:tc>
        <w:tc>
          <w:tcPr>
            <w:tcW w:type="dxa" w:w="3360"/>
            <w:vAlign w:val="top"/>
          </w:tcPr>
          <w:p>
            <w:r/>
            <w:r>
              <w:rPr>
                <w:b w:val="0"/>
                <w:sz w:val="18"/>
              </w:rPr>
              <w:t>External verification architecture</w:t>
            </w:r>
          </w:p>
        </w:tc>
        <w:tc>
          <w:tcPr>
            <w:tcW w:type="dxa" w:w="3360"/>
            <w:vAlign w:val="top"/>
          </w:tcPr>
          <w:p>
            <w:r/>
            <w:r>
              <w:rPr>
                <w:b w:val="0"/>
                <w:sz w:val="18"/>
              </w:rPr>
              <w:t>Produces machine-readable audit records independent of model self-assessment.</w:t>
            </w:r>
          </w:p>
        </w:tc>
      </w:tr>
      <w:tr>
        <w:tc>
          <w:tcPr>
            <w:tcW w:type="dxa" w:w="3360"/>
            <w:vAlign w:val="top"/>
          </w:tcPr>
          <w:p>
            <w:r/>
            <w:r>
              <w:rPr>
                <w:b w:val="0"/>
                <w:sz w:val="18"/>
              </w:rPr>
              <w:t>ECS/LCS/SOHU</w:t>
            </w:r>
          </w:p>
        </w:tc>
        <w:tc>
          <w:tcPr>
            <w:tcW w:type="dxa" w:w="3360"/>
            <w:vAlign w:val="top"/>
          </w:tcPr>
          <w:p>
            <w:r/>
            <w:r>
              <w:rPr>
                <w:b w:val="0"/>
                <w:sz w:val="18"/>
              </w:rPr>
              <w:t>Supporting systems</w:t>
            </w:r>
          </w:p>
        </w:tc>
        <w:tc>
          <w:tcPr>
            <w:tcW w:type="dxa" w:w="3360"/>
            <w:vAlign w:val="top"/>
          </w:tcPr>
          <w:p>
            <w:r/>
            <w:r>
              <w:rPr>
                <w:b w:val="0"/>
                <w:sz w:val="18"/>
              </w:rPr>
              <w:t>Provide control, lifecycle, and theoretical grounding for the full-stack architecture.</w:t>
            </w:r>
          </w:p>
        </w:tc>
      </w:tr>
    </w:tbl>
    <w:p/>
    <w:p>
      <w:pPr>
        <w:pStyle w:val="Heading1"/>
      </w:pPr>
      <w:r>
        <w:t>4. Relationship to the Six-Part Series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Book</w:t>
            </w:r>
          </w:p>
        </w:tc>
        <w:tc>
          <w:tcPr>
            <w:tcW w:type="dxa" w:w="5040"/>
            <w:vAlign w:val="top"/>
            <w:shd w:fill="D9EAF7"/>
          </w:tcPr>
          <w:p>
            <w:r/>
            <w:r>
              <w:rPr>
                <w:b/>
                <w:sz w:val="18"/>
              </w:rPr>
              <w:t>Role in the Architecture</w:t>
            </w:r>
          </w:p>
        </w:tc>
      </w:tr>
      <w:tr>
        <w:tc>
          <w:tcPr>
            <w:tcW w:type="dxa" w:w="5040"/>
            <w:vAlign w:val="top"/>
          </w:tcPr>
          <w:p>
            <w:r/>
            <w:r>
              <w:rPr>
                <w:b w:val="0"/>
                <w:sz w:val="18"/>
              </w:rPr>
              <w:t>Book 1: Origin &amp; Theoretical Foundation</w:t>
            </w:r>
          </w:p>
        </w:tc>
        <w:tc>
          <w:tcPr>
            <w:tcW w:type="dxa" w:w="5040"/>
            <w:vAlign w:val="top"/>
          </w:tcPr>
          <w:p>
            <w:r/>
            <w:r>
              <w:rPr>
                <w:b w:val="0"/>
                <w:sz w:val="18"/>
              </w:rPr>
              <w:t>Defines MAV, intellectual lineage, empirical status, and the theoretical origin of HNS.</w:t>
            </w:r>
          </w:p>
        </w:tc>
      </w:tr>
      <w:tr>
        <w:tc>
          <w:tcPr>
            <w:tcW w:type="dxa" w:w="5040"/>
            <w:vAlign w:val="top"/>
          </w:tcPr>
          <w:p>
            <w:r/>
            <w:r>
              <w:rPr>
                <w:b w:val="0"/>
                <w:sz w:val="18"/>
              </w:rPr>
              <w:t>Book 2: Foundational &amp; Observational Specification</w:t>
            </w:r>
          </w:p>
        </w:tc>
        <w:tc>
          <w:tcPr>
            <w:tcW w:type="dxa" w:w="5040"/>
            <w:vAlign w:val="top"/>
          </w:tcPr>
          <w:p>
            <w:r/>
            <w:r>
              <w:rPr>
                <w:b w:val="0"/>
                <w:sz w:val="18"/>
              </w:rPr>
              <w:t>Defines HNS-36 and HNS-144 as the core structural and observational OS.</w:t>
            </w:r>
          </w:p>
        </w:tc>
      </w:tr>
      <w:tr>
        <w:tc>
          <w:tcPr>
            <w:tcW w:type="dxa" w:w="5040"/>
            <w:vAlign w:val="top"/>
          </w:tcPr>
          <w:p>
            <w:r/>
            <w:r>
              <w:rPr>
                <w:b w:val="0"/>
                <w:sz w:val="18"/>
              </w:rPr>
              <w:t>Book 3: Analytical Specification</w:t>
            </w:r>
          </w:p>
        </w:tc>
        <w:tc>
          <w:tcPr>
            <w:tcW w:type="dxa" w:w="5040"/>
            <w:vAlign w:val="top"/>
          </w:tcPr>
          <w:p>
            <w:r/>
            <w:r>
              <w:rPr>
                <w:b w:val="0"/>
                <w:sz w:val="18"/>
              </w:rPr>
              <w:t>Defines HNS-864 and the analytical/inference-control layer.</w:t>
            </w:r>
          </w:p>
        </w:tc>
      </w:tr>
      <w:tr>
        <w:tc>
          <w:tcPr>
            <w:tcW w:type="dxa" w:w="5040"/>
            <w:vAlign w:val="top"/>
          </w:tcPr>
          <w:p>
            <w:r/>
            <w:r>
              <w:rPr>
                <w:b w:val="0"/>
                <w:sz w:val="18"/>
              </w:rPr>
              <w:t>Book 4: Social Meta-Structure Specification</w:t>
            </w:r>
          </w:p>
        </w:tc>
        <w:tc>
          <w:tcPr>
            <w:tcW w:type="dxa" w:w="5040"/>
            <w:vAlign w:val="top"/>
          </w:tcPr>
          <w:p>
            <w:r/>
            <w:r>
              <w:rPr>
                <w:b w:val="0"/>
                <w:sz w:val="18"/>
              </w:rPr>
              <w:t>Defines HNS-SMS-6 as the grounded/executive axis.</w:t>
            </w:r>
          </w:p>
        </w:tc>
      </w:tr>
      <w:tr>
        <w:tc>
          <w:tcPr>
            <w:tcW w:type="dxa" w:w="5040"/>
            <w:vAlign w:val="top"/>
          </w:tcPr>
          <w:p>
            <w:r/>
            <w:r>
              <w:rPr>
                <w:b w:val="0"/>
                <w:sz w:val="18"/>
              </w:rPr>
              <w:t>Book 5: External Verification Architecture</w:t>
            </w:r>
          </w:p>
        </w:tc>
        <w:tc>
          <w:tcPr>
            <w:tcW w:type="dxa" w:w="5040"/>
            <w:vAlign w:val="top"/>
          </w:tcPr>
          <w:p>
            <w:r/>
            <w:r>
              <w:rPr>
                <w:b w:val="0"/>
                <w:sz w:val="18"/>
              </w:rPr>
              <w:t>Defines EVA as the external audit and verification layer.</w:t>
            </w:r>
          </w:p>
        </w:tc>
      </w:tr>
      <w:tr>
        <w:tc>
          <w:tcPr>
            <w:tcW w:type="dxa" w:w="5040"/>
            <w:vAlign w:val="top"/>
          </w:tcPr>
          <w:p>
            <w:r/>
            <w:r>
              <w:rPr>
                <w:b w:val="0"/>
                <w:sz w:val="18"/>
              </w:rPr>
              <w:t>Book 6: Standards &amp; Conformance Specification</w:t>
            </w:r>
          </w:p>
        </w:tc>
        <w:tc>
          <w:tcPr>
            <w:tcW w:type="dxa" w:w="5040"/>
            <w:vAlign w:val="top"/>
          </w:tcPr>
          <w:p>
            <w:r/>
            <w:r>
              <w:rPr>
                <w:b w:val="0"/>
                <w:sz w:val="18"/>
              </w:rPr>
              <w:t>Connects the system to conformance, benchmark, governance, and standards discussion.</w:t>
            </w:r>
          </w:p>
        </w:tc>
      </w:tr>
    </w:tbl>
    <w:p/>
    <w:p>
      <w:pPr>
        <w:pStyle w:val="Heading1"/>
      </w:pPr>
      <w:r>
        <w:t>5. Relationship to the Seven PoCs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PoC</w:t>
            </w:r>
          </w:p>
        </w:tc>
        <w:tc>
          <w:tcPr>
            <w:tcW w:type="dxa" w:w="5040"/>
            <w:vAlign w:val="top"/>
            <w:shd w:fill="D9EAF7"/>
          </w:tcPr>
          <w:p>
            <w:r/>
            <w:r>
              <w:rPr>
                <w:b/>
                <w:sz w:val="18"/>
              </w:rPr>
              <w:t>Primary Demonstration</w:t>
            </w:r>
          </w:p>
        </w:tc>
      </w:tr>
      <w:tr>
        <w:tc>
          <w:tcPr>
            <w:tcW w:type="dxa" w:w="5040"/>
            <w:vAlign w:val="top"/>
          </w:tcPr>
          <w:p>
            <w:r/>
            <w:r>
              <w:rPr>
                <w:b w:val="0"/>
                <w:sz w:val="18"/>
              </w:rPr>
              <w:t>Auditability PoC</w:t>
            </w:r>
          </w:p>
        </w:tc>
        <w:tc>
          <w:tcPr>
            <w:tcW w:type="dxa" w:w="5040"/>
            <w:vAlign w:val="top"/>
          </w:tcPr>
          <w:p>
            <w:r/>
            <w:r>
              <w:rPr>
                <w:b w:val="0"/>
                <w:sz w:val="18"/>
              </w:rPr>
              <w:t>AI output can be mapped to HNS coordinates and EVA audit logs.</w:t>
            </w:r>
          </w:p>
        </w:tc>
      </w:tr>
      <w:tr>
        <w:tc>
          <w:tcPr>
            <w:tcW w:type="dxa" w:w="5040"/>
            <w:vAlign w:val="top"/>
          </w:tcPr>
          <w:p>
            <w:r/>
            <w:r>
              <w:rPr>
                <w:b w:val="0"/>
                <w:sz w:val="18"/>
              </w:rPr>
              <w:t>Hallucination Taxonomy PoC</w:t>
            </w:r>
          </w:p>
        </w:tc>
        <w:tc>
          <w:tcPr>
            <w:tcW w:type="dxa" w:w="5040"/>
            <w:vAlign w:val="top"/>
          </w:tcPr>
          <w:p>
            <w:r/>
            <w:r>
              <w:rPr>
                <w:b w:val="0"/>
                <w:sz w:val="18"/>
              </w:rPr>
              <w:t>Structural AI failures can be classified using the HNS five-type taxonomy.</w:t>
            </w:r>
          </w:p>
        </w:tc>
      </w:tr>
      <w:tr>
        <w:tc>
          <w:tcPr>
            <w:tcW w:type="dxa" w:w="5040"/>
            <w:vAlign w:val="top"/>
          </w:tcPr>
          <w:p>
            <w:r/>
            <w:r>
              <w:rPr>
                <w:b w:val="0"/>
                <w:sz w:val="18"/>
              </w:rPr>
              <w:t>Before / After Constraint PoC</w:t>
            </w:r>
          </w:p>
        </w:tc>
        <w:tc>
          <w:tcPr>
            <w:tcW w:type="dxa" w:w="5040"/>
            <w:vAlign w:val="top"/>
          </w:tcPr>
          <w:p>
            <w:r/>
            <w:r>
              <w:rPr>
                <w:b w:val="0"/>
                <w:sz w:val="18"/>
              </w:rPr>
              <w:t>HNS constraints can make output structure easier to compare.</w:t>
            </w:r>
          </w:p>
        </w:tc>
      </w:tr>
      <w:tr>
        <w:tc>
          <w:tcPr>
            <w:tcW w:type="dxa" w:w="5040"/>
            <w:vAlign w:val="top"/>
          </w:tcPr>
          <w:p>
            <w:r/>
            <w:r>
              <w:rPr>
                <w:b w:val="0"/>
                <w:sz w:val="18"/>
              </w:rPr>
              <w:t>Conformance PoC</w:t>
            </w:r>
          </w:p>
        </w:tc>
        <w:tc>
          <w:tcPr>
            <w:tcW w:type="dxa" w:w="5040"/>
            <w:vAlign w:val="top"/>
          </w:tcPr>
          <w:p>
            <w:r/>
            <w:r>
              <w:rPr>
                <w:b w:val="0"/>
                <w:sz w:val="18"/>
              </w:rPr>
              <w:t>EVA-HNS can be represented as checklist-style conformance items.</w:t>
            </w:r>
          </w:p>
        </w:tc>
      </w:tr>
      <w:tr>
        <w:tc>
          <w:tcPr>
            <w:tcW w:type="dxa" w:w="5040"/>
            <w:vAlign w:val="top"/>
          </w:tcPr>
          <w:p>
            <w:r/>
            <w:r>
              <w:rPr>
                <w:b w:val="0"/>
                <w:sz w:val="18"/>
              </w:rPr>
              <w:t>Post-Hoc Auditor PoC</w:t>
            </w:r>
          </w:p>
        </w:tc>
        <w:tc>
          <w:tcPr>
            <w:tcW w:type="dxa" w:w="5040"/>
            <w:vAlign w:val="top"/>
          </w:tcPr>
          <w:p>
            <w:r/>
            <w:r>
              <w:rPr>
                <w:b w:val="0"/>
                <w:sz w:val="18"/>
              </w:rPr>
              <w:t>Already emitted AI output can be audited without changing model weights.</w:t>
            </w:r>
          </w:p>
        </w:tc>
      </w:tr>
      <w:tr>
        <w:tc>
          <w:tcPr>
            <w:tcW w:type="dxa" w:w="5040"/>
            <w:vAlign w:val="top"/>
          </w:tcPr>
          <w:p>
            <w:r/>
            <w:r>
              <w:rPr>
                <w:b w:val="0"/>
                <w:sz w:val="18"/>
              </w:rPr>
              <w:t>Standards Mapping PoC</w:t>
            </w:r>
          </w:p>
        </w:tc>
        <w:tc>
          <w:tcPr>
            <w:tcW w:type="dxa" w:w="5040"/>
            <w:vAlign w:val="top"/>
          </w:tcPr>
          <w:p>
            <w:r/>
            <w:r>
              <w:rPr>
                <w:b w:val="0"/>
                <w:sz w:val="18"/>
              </w:rPr>
              <w:t>EVA-HNS functions can be mapped to auditability, transparency, traceability, risk, and conformance concepts.</w:t>
            </w:r>
          </w:p>
        </w:tc>
      </w:tr>
      <w:tr>
        <w:tc>
          <w:tcPr>
            <w:tcW w:type="dxa" w:w="5040"/>
            <w:vAlign w:val="top"/>
          </w:tcPr>
          <w:p>
            <w:r/>
            <w:r>
              <w:rPr>
                <w:b w:val="0"/>
                <w:sz w:val="18"/>
              </w:rPr>
              <w:t>Multi-Axis Verification PoC</w:t>
            </w:r>
          </w:p>
        </w:tc>
        <w:tc>
          <w:tcPr>
            <w:tcW w:type="dxa" w:w="5040"/>
            <w:vAlign w:val="top"/>
          </w:tcPr>
          <w:p>
            <w:r/>
            <w:r>
              <w:rPr>
                <w:b w:val="0"/>
                <w:sz w:val="18"/>
              </w:rPr>
              <w:t>Fluency, structural validity, and grounding can be evaluated separately.</w:t>
            </w:r>
          </w:p>
        </w:tc>
      </w:tr>
    </w:tbl>
    <w:p/>
    <w:p>
      <w:pPr>
        <w:pStyle w:val="Heading1"/>
      </w:pPr>
      <w:r>
        <w:t>6. What EVA-HNS Most Securely Claims</w:t>
      </w:r>
    </w:p>
    <w:p>
      <w:pPr>
        <w:pStyle w:val="ListBullet"/>
      </w:pPr>
      <w:r>
        <w:t>AI output review can be made more explicit by mapping claims to HNS coordinates.</w:t>
      </w:r>
    </w:p>
    <w:p>
      <w:pPr>
        <w:pStyle w:val="ListBullet"/>
      </w:pPr>
      <w:r>
        <w:t>Structural failure types can be named and logged rather than left as vague judgment.</w:t>
      </w:r>
    </w:p>
    <w:p>
      <w:pPr>
        <w:pStyle w:val="ListBullet"/>
      </w:pPr>
      <w:r>
        <w:t>EVA can produce an externally inspectable record of what was checked and why.</w:t>
      </w:r>
    </w:p>
    <w:p>
      <w:pPr>
        <w:pStyle w:val="ListBullet"/>
      </w:pPr>
      <w:r>
        <w:t>Post-hoc auditing can be performed without access to model weights or logits.</w:t>
      </w:r>
    </w:p>
    <w:p>
      <w:pPr>
        <w:pStyle w:val="ListBullet"/>
      </w:pPr>
      <w:r>
        <w:t>Conformance-oriented checklists can be built from the architecture.</w:t>
      </w:r>
    </w:p>
    <w:p>
      <w:pPr>
        <w:pStyle w:val="Heading1"/>
      </w:pPr>
      <w:r>
        <w:t>7. What EVA-HNS Does Not Yet Claim</w:t>
      </w:r>
    </w:p>
    <w:p>
      <w:pPr>
        <w:pStyle w:val="ListBullet"/>
      </w:pPr>
      <w:r>
        <w:t>It does not yet claim independent third-party validation across all models and domains.</w:t>
      </w:r>
    </w:p>
    <w:p>
      <w:pPr>
        <w:pStyle w:val="ListBullet"/>
      </w:pPr>
      <w:r>
        <w:t>It does not claim universal elimination of hallucination.</w:t>
      </w:r>
    </w:p>
    <w:p>
      <w:pPr>
        <w:pStyle w:val="ListBullet"/>
      </w:pPr>
      <w:r>
        <w:t>It does not claim that the coordinate system is sufficient for every governance purpose.</w:t>
      </w:r>
    </w:p>
    <w:p>
      <w:pPr>
        <w:pStyle w:val="ListBullet"/>
      </w:pPr>
      <w:r>
        <w:t>It does not claim formal recognition by any standards body.</w:t>
      </w:r>
    </w:p>
    <w:p>
      <w:pPr>
        <w:pStyle w:val="ListBullet"/>
      </w:pPr>
      <w:r>
        <w:t>It does not replace existing risk management, safety engineering, or legal compliance frameworks.</w:t>
      </w:r>
    </w:p>
    <w:p>
      <w:pPr>
        <w:pStyle w:val="Heading1"/>
      </w:pPr>
      <w:r>
        <w:t>8. Recommended Use</w:t>
      </w:r>
    </w:p>
    <w:p>
      <w:r>
        <w:t>This overview should be used as the first entry point for researchers, reviewers, standardization participants, and implementers. It should be placed near the top of the GitHub repository and linked from the six-part series, the seven PoC package, and any standards-oriented material.</w:t>
      </w:r>
    </w:p>
    <w:p>
      <w:pPr>
        <w:pStyle w:val="Heading1"/>
      </w:pPr>
      <w:r>
        <w:t>9. Suggested Citation</w:t>
      </w:r>
    </w:p>
    <w:p>
      <w:r>
        <w:t>Hara, S. (2026). EVA-HNS Canonical Overview v1.0: A Structural Full-Stack Architecture for Human Understanding and External AI Verification. Natural Structure Works.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