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リアクロスメンバー 振動解析（強制応答） 解析レポート（RPT-028）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report_id</w:t>
            </w:r>
          </w:p>
        </w:tc>
        <w:tc>
          <w:tcPr>
            <w:tcW w:type="dxa" w:w="4320"/>
          </w:tcPr>
          <w:p>
            <w:r>
              <w:t>RPT-028</w:t>
            </w:r>
          </w:p>
        </w:tc>
      </w:tr>
      <w:tr>
        <w:tc>
          <w:tcPr>
            <w:tcW w:type="dxa" w:w="4320"/>
          </w:tcPr>
          <w:p>
            <w:r>
              <w:t>dept</w:t>
            </w:r>
          </w:p>
        </w:tc>
        <w:tc>
          <w:tcPr>
            <w:tcW w:type="dxa" w:w="4320"/>
          </w:tcPr>
          <w:p>
            <w:r>
              <w:t>シャシー設計部</w:t>
            </w:r>
          </w:p>
        </w:tc>
      </w:tr>
      <w:tr>
        <w:tc>
          <w:tcPr>
            <w:tcW w:type="dxa" w:w="4320"/>
          </w:tcPr>
          <w:p>
            <w:r>
              <w:t>analysis_type</w:t>
            </w:r>
          </w:p>
        </w:tc>
        <w:tc>
          <w:tcPr>
            <w:tcW w:type="dxa" w:w="4320"/>
          </w:tcPr>
          <w:p>
            <w:r>
              <w:t>振動解析（強制応答）</w:t>
            </w:r>
          </w:p>
        </w:tc>
      </w:tr>
      <w:tr>
        <w:tc>
          <w:tcPr>
            <w:tcW w:type="dxa" w:w="4320"/>
          </w:tcPr>
          <w:p>
            <w:r>
              <w:t>part</w:t>
            </w:r>
          </w:p>
        </w:tc>
        <w:tc>
          <w:tcPr>
            <w:tcW w:type="dxa" w:w="4320"/>
          </w:tcPr>
          <w:p>
            <w:r>
              <w:t>リアクロスメンバー</w:t>
            </w:r>
          </w:p>
        </w:tc>
      </w:tr>
      <w:tr>
        <w:tc>
          <w:tcPr>
            <w:tcW w:type="dxa" w:w="4320"/>
          </w:tcPr>
          <w:p>
            <w:r>
              <w:t>solver</w:t>
            </w:r>
          </w:p>
        </w:tc>
        <w:tc>
          <w:tcPr>
            <w:tcW w:type="dxa" w:w="4320"/>
          </w:tcPr>
          <w:p>
            <w:r>
              <w:t>Abaqus</w:t>
            </w:r>
          </w:p>
        </w:tc>
      </w:tr>
      <w:tr>
        <w:tc>
          <w:tcPr>
            <w:tcW w:type="dxa" w:w="4320"/>
          </w:tcPr>
          <w:p>
            <w:r>
              <w:t>material</w:t>
            </w:r>
          </w:p>
        </w:tc>
        <w:tc>
          <w:tcPr>
            <w:tcW w:type="dxa" w:w="4320"/>
          </w:tcPr>
          <w:p>
            <w:r>
              <w:t>高張力鋼板(980MPa級)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担当者B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2024-06-10</w:t>
            </w:r>
          </w:p>
        </w:tc>
      </w:tr>
    </w:tbl>
    <w:p>
      <w:pPr>
        <w:pStyle w:val="Heading2"/>
      </w:pPr>
      <w:r>
        <w:t>解析目的</w:t>
      </w:r>
    </w:p>
    <w:p>
      <w:r>
        <w:t>リアクロスメンバーの振動特性を解析し、特定周波数での振幅を評価すること。</w:t>
      </w:r>
    </w:p>
    <w:p>
      <w:pPr>
        <w:pStyle w:val="Heading2"/>
      </w:pPr>
      <w:r>
        <w:t>対象部品・製品カテゴリ</w:t>
      </w:r>
    </w:p>
    <w:p>
      <w:r>
        <w:t>リアクロスメンバー</w:t>
      </w:r>
    </w:p>
    <w:p>
      <w:pPr>
        <w:pStyle w:val="Heading2"/>
      </w:pPr>
      <w:r>
        <w:t>荷重・拘束条件</w:t>
      </w:r>
    </w:p>
    <w:p>
      <w:r>
        <w:t>リアクロスメンバーの両端に固定拘束を設け、10Hzから500Hzまでの範囲で正弦波応力荷重を加えた。</w:t>
      </w:r>
    </w:p>
    <w:p>
      <w:pPr>
        <w:pStyle w:val="Heading2"/>
      </w:pPr>
      <w:r>
        <w:t>メッシュ諸元</w:t>
      </w:r>
    </w:p>
    <w:p>
      <w:r>
        <w:t>初期モデルでは1次四角形要素を使用し、平均要素長3mmとしてメッシュを作成した。</w:t>
      </w:r>
    </w:p>
    <w:p>
      <w:pPr>
        <w:pStyle w:val="Heading2"/>
      </w:pPr>
      <w:r>
        <w:t>材料物性</w:t>
      </w:r>
    </w:p>
    <w:p>
      <w:r>
        <w:t>高張力鋼板(980MPa級)を使用。弾性係数E=210GPa、ポアソン比ν=0.3と設定した。</w:t>
      </w:r>
    </w:p>
    <w:p>
      <w:pPr>
        <w:pStyle w:val="Heading2"/>
      </w:pPr>
      <w:r>
        <w:t>使用ソルバー</w:t>
      </w:r>
    </w:p>
    <w:p>
      <w:r>
        <w:t>Abaqusを使用し、ダイナミクス分析モジュールを用いて解析を行った。</w:t>
      </w:r>
    </w:p>
    <w:p>
      <w:pPr>
        <w:pStyle w:val="Heading2"/>
      </w:pPr>
      <w:r>
        <w:t>結果サマリー</w:t>
      </w:r>
    </w:p>
    <w:p>
      <w:r>
        <w:t>初期モデルでは、300Hz付近で振幅が1.5mmに達した。実機検証では、この値が上限値を超過していた。</w:t>
      </w:r>
    </w:p>
    <w:p>
      <w:r>
        <w:drawing>
          <wp:inline xmlns:a="http://schemas.openxmlformats.org/drawingml/2006/main" xmlns:pic="http://schemas.openxmlformats.org/drawingml/2006/picture">
            <wp:extent cx="3657600" cy="2560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トラブルシューティング・教訓</w:t>
      </w:r>
    </w:p>
    <w:p>
      <w:r>
        <w:t>要素タイプの選定が不適切で、曲げ剛性を約20%過小評価していた。1次要素を使用した場合、曲げモードが不足しており、振幅の予測値が低下していた。これを解決するために、2次四角形要素を使用し、さらに細分化して平均要素長を1.5mmに短縮したところ、振幅予測値が実機検証と一致するようになっ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