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オイルパン 静解析（線形） 解析レポート（RPT-058）</w:t>
      </w:r>
    </w:p>
    <w:tbl>
      <w:tblPr>
        <w:tblW w:type="auto" w:w="0"/>
        <w:tblLook w:firstColumn="1" w:firstRow="1" w:lastColumn="0" w:lastRow="0" w:noHBand="0" w:noVBand="1" w:val="04A0"/>
      </w:tblPr>
      <w:tblGrid>
        <w:gridCol w:w="4320"/>
        <w:gridCol w:w="4320"/>
      </w:tblGrid>
      <w:tr>
        <w:tc>
          <w:tcPr>
            <w:tcW w:type="dxa" w:w="4320"/>
          </w:tcPr>
          <w:p>
            <w:r>
              <w:t>report_id</w:t>
            </w:r>
          </w:p>
        </w:tc>
        <w:tc>
          <w:tcPr>
            <w:tcW w:type="dxa" w:w="4320"/>
          </w:tcPr>
          <w:p>
            <w:r>
              <w:t>RPT-058</w:t>
            </w:r>
          </w:p>
        </w:tc>
      </w:tr>
      <w:tr>
        <w:tc>
          <w:tcPr>
            <w:tcW w:type="dxa" w:w="4320"/>
          </w:tcPr>
          <w:p>
            <w:r>
              <w:t>dept</w:t>
            </w:r>
          </w:p>
        </w:tc>
        <w:tc>
          <w:tcPr>
            <w:tcW w:type="dxa" w:w="4320"/>
          </w:tcPr>
          <w:p>
            <w:r>
              <w:t>パワートレイン設計部</w:t>
            </w:r>
          </w:p>
        </w:tc>
      </w:tr>
      <w:tr>
        <w:tc>
          <w:tcPr>
            <w:tcW w:type="dxa" w:w="4320"/>
          </w:tcPr>
          <w:p>
            <w:r>
              <w:t>analysis_type</w:t>
            </w:r>
          </w:p>
        </w:tc>
        <w:tc>
          <w:tcPr>
            <w:tcW w:type="dxa" w:w="4320"/>
          </w:tcPr>
          <w:p>
            <w:r>
              <w:t>静解析（線形）</w:t>
            </w:r>
          </w:p>
        </w:tc>
      </w:tr>
      <w:tr>
        <w:tc>
          <w:tcPr>
            <w:tcW w:type="dxa" w:w="4320"/>
          </w:tcPr>
          <w:p>
            <w:r>
              <w:t>part</w:t>
            </w:r>
          </w:p>
        </w:tc>
        <w:tc>
          <w:tcPr>
            <w:tcW w:type="dxa" w:w="4320"/>
          </w:tcPr>
          <w:p>
            <w:r>
              <w:t>オイルパン</w:t>
            </w:r>
          </w:p>
        </w:tc>
      </w:tr>
      <w:tr>
        <w:tc>
          <w:tcPr>
            <w:tcW w:type="dxa" w:w="4320"/>
          </w:tcPr>
          <w:p>
            <w:r>
              <w:t>solver</w:t>
            </w:r>
          </w:p>
        </w:tc>
        <w:tc>
          <w:tcPr>
            <w:tcW w:type="dxa" w:w="4320"/>
          </w:tcPr>
          <w:p>
            <w:r>
              <w:t>Nastran</w:t>
            </w:r>
          </w:p>
        </w:tc>
      </w:tr>
      <w:tr>
        <w:tc>
          <w:tcPr>
            <w:tcW w:type="dxa" w:w="4320"/>
          </w:tcPr>
          <w:p>
            <w:r>
              <w:t>material</w:t>
            </w:r>
          </w:p>
        </w:tc>
        <w:tc>
          <w:tcPr>
            <w:tcW w:type="dxa" w:w="4320"/>
          </w:tcPr>
          <w:p>
            <w:r>
              <w:t>アルミダイカスト(ADC12)</w:t>
            </w:r>
          </w:p>
        </w:tc>
      </w:tr>
      <w:tr>
        <w:tc>
          <w:tcPr>
            <w:tcW w:type="dxa" w:w="4320"/>
          </w:tcPr>
          <w:p>
            <w:r>
              <w:t>author</w:t>
            </w:r>
          </w:p>
        </w:tc>
        <w:tc>
          <w:tcPr>
            <w:tcW w:type="dxa" w:w="4320"/>
          </w:tcPr>
          <w:p>
            <w:r>
              <w:t>担当者C</w:t>
            </w:r>
          </w:p>
        </w:tc>
      </w:tr>
      <w:tr>
        <w:tc>
          <w:tcPr>
            <w:tcW w:type="dxa" w:w="4320"/>
          </w:tcPr>
          <w:p>
            <w:r>
              <w:t>date</w:t>
            </w:r>
          </w:p>
        </w:tc>
        <w:tc>
          <w:tcPr>
            <w:tcW w:type="dxa" w:w="4320"/>
          </w:tcPr>
          <w:p>
            <w:r>
              <w:t>2023-08-31</w:t>
            </w:r>
          </w:p>
        </w:tc>
      </w:tr>
    </w:tbl>
    <w:p>
      <w:pPr>
        <w:pStyle w:val="Heading2"/>
      </w:pPr>
      <w:r>
        <w:t>解析目的</w:t>
      </w:r>
    </w:p>
    <w:p>
      <w:r>
        <w:t>オイルパンの耐久性と振動特性を評価し、設計改良のためのデータ提供。</w:t>
      </w:r>
    </w:p>
    <w:p>
      <w:pPr>
        <w:pStyle w:val="Heading2"/>
      </w:pPr>
      <w:r>
        <w:t>対象部品・製品カテゴリ</w:t>
      </w:r>
    </w:p>
    <w:p>
      <w:r>
        <w:t>パワートレインシステムにおいて排出される潤滑オイルを収容するための部品。主な製品カテゴリはエンジン周辺部品。</w:t>
      </w:r>
    </w:p>
    <w:p>
      <w:pPr>
        <w:pStyle w:val="Heading2"/>
      </w:pPr>
      <w:r>
        <w:t>境界条件</w:t>
      </w:r>
    </w:p>
    <w:p>
      <w:r>
        <w:t>固定境界条件として、エンジンホースティングポイントを設定。均一な載荷100N/m²を油パン全体に適用。</w:t>
      </w:r>
    </w:p>
    <w:p>
      <w:pPr>
        <w:pStyle w:val="Heading2"/>
      </w:pPr>
      <w:r>
        <w:t>要素分割</w:t>
      </w:r>
    </w:p>
    <w:p>
      <w:r>
        <w:t>oilpan本体のメッシュサイズは2mm以下に設定し、境界部分では1mm程度で細分化。総要素数は350,000を超えた。</w:t>
      </w:r>
    </w:p>
    <w:p>
      <w:pPr>
        <w:pStyle w:val="Heading2"/>
      </w:pPr>
      <w:r>
        <w:t>材料物性</w:t>
      </w:r>
    </w:p>
    <w:p>
      <w:r>
        <w:t>アルミニウムダイカスト(ADC12)を使用。密度は2.8g/cm³、ヤング率70GPa、ポアソン比は0.33。</w:t>
      </w:r>
    </w:p>
    <w:p>
      <w:pPr>
        <w:pStyle w:val="Heading2"/>
      </w:pPr>
      <w:r>
        <w:t>使用ソルバー</w:t>
      </w:r>
    </w:p>
    <w:p>
      <w:r>
        <w:t>Nastranを使用し、線形静解析を実施。</w:t>
      </w:r>
    </w:p>
    <w:p>
      <w:pPr>
        <w:pStyle w:val="Heading2"/>
      </w:pPr>
      <w:r>
        <w:t>結果サマリー</w:t>
      </w:r>
    </w:p>
    <w:p>
      <w:r>
        <w:t>最大応力は25MPaと発生し、許容応力40MPa以下であった。振動モード形状も期待通りの結果を得られた。</w:t>
      </w:r>
    </w:p>
    <w:p>
      <w:r>
        <w:drawing>
          <wp:inline xmlns:a="http://schemas.openxmlformats.org/drawingml/2006/main" xmlns:pic="http://schemas.openxmlformats.org/drawingml/2006/picture">
            <wp:extent cx="3657600" cy="25603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560320"/>
                    </a:xfrm>
                    <a:prstGeom prst="rect"/>
                  </pic:spPr>
                </pic:pic>
              </a:graphicData>
            </a:graphic>
          </wp:inline>
        </w:drawing>
      </w:r>
    </w:p>
    <w:p>
      <w:pPr>
        <w:pStyle w:val="Heading2"/>
      </w:pPr>
      <w:r>
        <w:t>トラブルシューティング・教訓</w:t>
      </w:r>
    </w:p>
    <w:p>
      <w:r>
        <w:t>解析結果と実機評価（試作品での振動試験）において、振幅が解析値より1.5倍大きかった。境界条件のエンジンホースティングポイントが実際と誤差があったことが判明。その後、境界条件を見直し、詳細な荷重分布を再評価したところ、振幅誤差は10%以下に改善され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