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ボンネット(フード) 固有値・モーダル解析 解析レポート（RPT-013）</w:t>
      </w:r>
    </w:p>
    <w:tbl>
      <w:tblPr>
        <w:tblW w:type="auto" w:w="0"/>
        <w:tblLook w:firstColumn="1" w:firstRow="1" w:lastColumn="0" w:lastRow="0" w:noHBand="0" w:noVBand="1" w:val="04A0"/>
      </w:tblPr>
      <w:tblGrid>
        <w:gridCol w:w="4320"/>
        <w:gridCol w:w="4320"/>
      </w:tblGrid>
      <w:tr>
        <w:tc>
          <w:tcPr>
            <w:tcW w:type="dxa" w:w="4320"/>
          </w:tcPr>
          <w:p>
            <w:r>
              <w:t>report_id</w:t>
            </w:r>
          </w:p>
        </w:tc>
        <w:tc>
          <w:tcPr>
            <w:tcW w:type="dxa" w:w="4320"/>
          </w:tcPr>
          <w:p>
            <w:r>
              <w:t>RPT-013</w:t>
            </w:r>
          </w:p>
        </w:tc>
      </w:tr>
      <w:tr>
        <w:tc>
          <w:tcPr>
            <w:tcW w:type="dxa" w:w="4320"/>
          </w:tcPr>
          <w:p>
            <w:r>
              <w:t>dept</w:t>
            </w:r>
          </w:p>
        </w:tc>
        <w:tc>
          <w:tcPr>
            <w:tcW w:type="dxa" w:w="4320"/>
          </w:tcPr>
          <w:p>
            <w:r>
              <w:t>ボディ設計部</w:t>
            </w:r>
          </w:p>
        </w:tc>
      </w:tr>
      <w:tr>
        <w:tc>
          <w:tcPr>
            <w:tcW w:type="dxa" w:w="4320"/>
          </w:tcPr>
          <w:p>
            <w:r>
              <w:t>analysis_type</w:t>
            </w:r>
          </w:p>
        </w:tc>
        <w:tc>
          <w:tcPr>
            <w:tcW w:type="dxa" w:w="4320"/>
          </w:tcPr>
          <w:p>
            <w:r>
              <w:t>固有値・モーダル解析</w:t>
            </w:r>
          </w:p>
        </w:tc>
      </w:tr>
      <w:tr>
        <w:tc>
          <w:tcPr>
            <w:tcW w:type="dxa" w:w="4320"/>
          </w:tcPr>
          <w:p>
            <w:r>
              <w:t>part</w:t>
            </w:r>
          </w:p>
        </w:tc>
        <w:tc>
          <w:tcPr>
            <w:tcW w:type="dxa" w:w="4320"/>
          </w:tcPr>
          <w:p>
            <w:r>
              <w:t>ボンネット(フード)</w:t>
            </w:r>
          </w:p>
        </w:tc>
      </w:tr>
      <w:tr>
        <w:tc>
          <w:tcPr>
            <w:tcW w:type="dxa" w:w="4320"/>
          </w:tcPr>
          <w:p>
            <w:r>
              <w:t>solver</w:t>
            </w:r>
          </w:p>
        </w:tc>
        <w:tc>
          <w:tcPr>
            <w:tcW w:type="dxa" w:w="4320"/>
          </w:tcPr>
          <w:p>
            <w:r>
              <w:t>Ansys</w:t>
            </w:r>
          </w:p>
        </w:tc>
      </w:tr>
      <w:tr>
        <w:tc>
          <w:tcPr>
            <w:tcW w:type="dxa" w:w="4320"/>
          </w:tcPr>
          <w:p>
            <w:r>
              <w:t>material</w:t>
            </w:r>
          </w:p>
        </w:tc>
        <w:tc>
          <w:tcPr>
            <w:tcW w:type="dxa" w:w="4320"/>
          </w:tcPr>
          <w:p>
            <w:r>
              <w:t>炭素繊維強化樹脂(CFRP)</w:t>
            </w:r>
          </w:p>
        </w:tc>
      </w:tr>
      <w:tr>
        <w:tc>
          <w:tcPr>
            <w:tcW w:type="dxa" w:w="4320"/>
          </w:tcPr>
          <w:p>
            <w:r>
              <w:t>author</w:t>
            </w:r>
          </w:p>
        </w:tc>
        <w:tc>
          <w:tcPr>
            <w:tcW w:type="dxa" w:w="4320"/>
          </w:tcPr>
          <w:p>
            <w:r>
              <w:t>担当者F</w:t>
            </w:r>
          </w:p>
        </w:tc>
      </w:tr>
      <w:tr>
        <w:tc>
          <w:tcPr>
            <w:tcW w:type="dxa" w:w="4320"/>
          </w:tcPr>
          <w:p>
            <w:r>
              <w:t>date</w:t>
            </w:r>
          </w:p>
        </w:tc>
        <w:tc>
          <w:tcPr>
            <w:tcW w:type="dxa" w:w="4320"/>
          </w:tcPr>
          <w:p>
            <w:r>
              <w:t>2023-08-13</w:t>
            </w:r>
          </w:p>
        </w:tc>
      </w:tr>
    </w:tbl>
    <w:p>
      <w:pPr>
        <w:pStyle w:val="Heading2"/>
      </w:pPr>
      <w:r>
        <w:t>解析目的</w:t>
      </w:r>
    </w:p>
    <w:p>
      <w:r>
        <w:t>ボンネットの振動特性を理解し、設計改良に利用するため、固有値モーダル解析を行いました。</w:t>
      </w:r>
    </w:p>
    <w:p>
      <w:pPr>
        <w:pStyle w:val="Heading2"/>
      </w:pPr>
      <w:r>
        <w:t>対象部品・製品カテゴリ</w:t>
      </w:r>
    </w:p>
    <w:p>
      <w:r>
        <w:t>対象部品はボンネット(フード)で、軽量化材料を使用した高品質な車両部品として設計されています。</w:t>
      </w:r>
    </w:p>
    <w:p>
      <w:pPr>
        <w:pStyle w:val="Heading2"/>
      </w:pPr>
      <w:r>
        <w:t>解析条件</w:t>
      </w:r>
    </w:p>
    <w:p>
      <w:r>
        <w:t>解析には、10次元のモードを抽出することを目標に設定し、自由振動解析を実施しました。</w:t>
      </w:r>
    </w:p>
    <w:p>
      <w:pPr>
        <w:pStyle w:val="Heading2"/>
      </w:pPr>
      <w:r>
        <w:t>メッシュ設定</w:t>
      </w:r>
    </w:p>
    <w:p>
      <w:r>
        <w:t>ボンネットのメッシュは、平均要素長さを3mmにし、接合部やフタリブなど重要な部位では細めのメッシュを使用して精度を確保しました。</w:t>
      </w:r>
    </w:p>
    <w:p>
      <w:pPr>
        <w:pStyle w:val="Heading2"/>
      </w:pPr>
      <w:r>
        <w:t>材料物性</w:t>
      </w:r>
    </w:p>
    <w:p>
      <w:r>
        <w:t>主要材料として炭素繊維強化樹脂(CFRP)を使用し、ヤング率は70GPa、ポアソン比は0.35と設定しました。</w:t>
      </w:r>
    </w:p>
    <w:p>
      <w:pPr>
        <w:pStyle w:val="Heading2"/>
      </w:pPr>
      <w:r>
        <w:t>使用ソルバー</w:t>
      </w:r>
    </w:p>
    <w:p>
      <w:r>
        <w:t>Ansysを使用して解析を行い、高精度な計算結果を得ることができました。</w:t>
      </w:r>
    </w:p>
    <w:p>
      <w:pPr>
        <w:pStyle w:val="Heading2"/>
      </w:pPr>
      <w:r>
        <w:t>結果サマリー</w:t>
      </w:r>
    </w:p>
    <w:p>
      <w:r>
        <w:t>解析結果では、最初のモードが12.5Hzで発生することが明らかとなりました。また、各モードの振動型は設計目標と一致しており、問題ありませんでした。</w:t>
      </w:r>
    </w:p>
    <w:p>
      <w:r>
        <w:drawing>
          <wp:inline xmlns:a="http://schemas.openxmlformats.org/drawingml/2006/main" xmlns:pic="http://schemas.openxmlformats.org/drawingml/2006/picture">
            <wp:extent cx="3657600"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560320"/>
                    </a:xfrm>
                    <a:prstGeom prst="rect"/>
                  </pic:spPr>
                </pic:pic>
              </a:graphicData>
            </a:graphic>
          </wp:inline>
        </w:drawing>
      </w:r>
    </w:p>
    <w:p>
      <w:pPr>
        <w:pStyle w:val="Heading2"/>
      </w:pPr>
      <w:r>
        <w:t>トラブルシューティング・教訓</w:t>
      </w:r>
    </w:p>
    <w:p>
      <w:r>
        <w:t>荷重ケースの組み合わせに2つのパターンが漏れがあり、再解析が必要となりました。具体的には、後部への衝撃負荷と側面からの風圧の組み合わせが不足しており、この組み合わせを追加して再解析しました。将来的にはチェックリストを作成し、すべての荷重ケースが考慮されるように注意する必要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