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プロペラシャフトサポート 振動解析（強制応答） 解析レポート（RPT-014）</w:t>
      </w:r>
    </w:p>
    <w:tbl>
      <w:tblPr>
        <w:tblW w:type="auto" w:w="0"/>
        <w:tblLook w:firstColumn="1" w:firstRow="1" w:lastColumn="0" w:lastRow="0" w:noHBand="0" w:noVBand="1" w:val="04A0"/>
      </w:tblPr>
      <w:tblGrid>
        <w:gridCol w:w="4320"/>
        <w:gridCol w:w="4320"/>
      </w:tblGrid>
      <w:tr>
        <w:tc>
          <w:tcPr>
            <w:tcW w:type="dxa" w:w="4320"/>
          </w:tcPr>
          <w:p>
            <w:r>
              <w:t>report_id</w:t>
            </w:r>
          </w:p>
        </w:tc>
        <w:tc>
          <w:tcPr>
            <w:tcW w:type="dxa" w:w="4320"/>
          </w:tcPr>
          <w:p>
            <w:r>
              <w:t>RPT-014</w:t>
            </w:r>
          </w:p>
        </w:tc>
      </w:tr>
      <w:tr>
        <w:tc>
          <w:tcPr>
            <w:tcW w:type="dxa" w:w="4320"/>
          </w:tcPr>
          <w:p>
            <w:r>
              <w:t>dept</w:t>
            </w:r>
          </w:p>
        </w:tc>
        <w:tc>
          <w:tcPr>
            <w:tcW w:type="dxa" w:w="4320"/>
          </w:tcPr>
          <w:p>
            <w:r>
              <w:t>パワートレイン設計部</w:t>
            </w:r>
          </w:p>
        </w:tc>
      </w:tr>
      <w:tr>
        <w:tc>
          <w:tcPr>
            <w:tcW w:type="dxa" w:w="4320"/>
          </w:tcPr>
          <w:p>
            <w:r>
              <w:t>analysis_type</w:t>
            </w:r>
          </w:p>
        </w:tc>
        <w:tc>
          <w:tcPr>
            <w:tcW w:type="dxa" w:w="4320"/>
          </w:tcPr>
          <w:p>
            <w:r>
              <w:t>振動解析（強制応答）</w:t>
            </w:r>
          </w:p>
        </w:tc>
      </w:tr>
      <w:tr>
        <w:tc>
          <w:tcPr>
            <w:tcW w:type="dxa" w:w="4320"/>
          </w:tcPr>
          <w:p>
            <w:r>
              <w:t>part</w:t>
            </w:r>
          </w:p>
        </w:tc>
        <w:tc>
          <w:tcPr>
            <w:tcW w:type="dxa" w:w="4320"/>
          </w:tcPr>
          <w:p>
            <w:r>
              <w:t>プロペラシャフトサポート</w:t>
            </w:r>
          </w:p>
        </w:tc>
      </w:tr>
      <w:tr>
        <w:tc>
          <w:tcPr>
            <w:tcW w:type="dxa" w:w="4320"/>
          </w:tcPr>
          <w:p>
            <w:r>
              <w:t>solver</w:t>
            </w:r>
          </w:p>
        </w:tc>
        <w:tc>
          <w:tcPr>
            <w:tcW w:type="dxa" w:w="4320"/>
          </w:tcPr>
          <w:p>
            <w:r>
              <w:t>Ansys</w:t>
            </w:r>
          </w:p>
        </w:tc>
      </w:tr>
      <w:tr>
        <w:tc>
          <w:tcPr>
            <w:tcW w:type="dxa" w:w="4320"/>
          </w:tcPr>
          <w:p>
            <w:r>
              <w:t>material</w:t>
            </w:r>
          </w:p>
        </w:tc>
        <w:tc>
          <w:tcPr>
            <w:tcW w:type="dxa" w:w="4320"/>
          </w:tcPr>
          <w:p>
            <w:r>
              <w:t>高張力鋼板(980MPa級)</w:t>
            </w:r>
          </w:p>
        </w:tc>
      </w:tr>
      <w:tr>
        <w:tc>
          <w:tcPr>
            <w:tcW w:type="dxa" w:w="4320"/>
          </w:tcPr>
          <w:p>
            <w:r>
              <w:t>author</w:t>
            </w:r>
          </w:p>
        </w:tc>
        <w:tc>
          <w:tcPr>
            <w:tcW w:type="dxa" w:w="4320"/>
          </w:tcPr>
          <w:p>
            <w:r>
              <w:t>担当者B</w:t>
            </w:r>
          </w:p>
        </w:tc>
      </w:tr>
      <w:tr>
        <w:tc>
          <w:tcPr>
            <w:tcW w:type="dxa" w:w="4320"/>
          </w:tcPr>
          <w:p>
            <w:r>
              <w:t>date</w:t>
            </w:r>
          </w:p>
        </w:tc>
        <w:tc>
          <w:tcPr>
            <w:tcW w:type="dxa" w:w="4320"/>
          </w:tcPr>
          <w:p>
            <w:r>
              <w:t>2023-06-06</w:t>
            </w:r>
          </w:p>
        </w:tc>
      </w:tr>
    </w:tbl>
    <w:p>
      <w:pPr>
        <w:pStyle w:val="Heading2"/>
      </w:pPr>
      <w:r>
        <w:t>解析目的</w:t>
      </w:r>
    </w:p>
    <w:p>
      <w:r>
        <w:t>プロペラシャフトサポートの振動特性を評価し、設計変更による強度改善の可能性を確認する。</w:t>
      </w:r>
    </w:p>
    <w:p>
      <w:pPr>
        <w:pStyle w:val="Heading2"/>
      </w:pPr>
      <w:r>
        <w:t>対象部品・製品カテゴリ</w:t>
      </w:r>
    </w:p>
    <w:p>
      <w:r>
        <w:t>プロペラシャフトサポートはエンジンとプロペラーの間で力を伝達する重要な部品であり、この解析ではその振動特性を評価する。</w:t>
      </w:r>
    </w:p>
    <w:p>
      <w:pPr>
        <w:pStyle w:val="Heading2"/>
      </w:pPr>
      <w:r>
        <w:t>境界条件</w:t>
      </w:r>
    </w:p>
    <w:p>
      <w:r>
        <w:t>プロペラシャフトサポートの両端を固定し、中心軸に50Hzから3kHzまでの周波数範囲で振動力を加えた。</w:t>
      </w:r>
    </w:p>
    <w:p>
      <w:pPr>
        <w:pStyle w:val="Heading2"/>
      </w:pPr>
      <w:r>
        <w:t>要素分割</w:t>
      </w:r>
    </w:p>
    <w:p>
      <w:r>
        <w:t>初期のメッシュサイズは10mmを基準としたが、細分化して5mmにし直した。</w:t>
      </w:r>
    </w:p>
    <w:p>
      <w:pPr>
        <w:pStyle w:val="Heading2"/>
      </w:pPr>
      <w:r>
        <w:t>材料物性</w:t>
      </w:r>
    </w:p>
    <w:p>
      <w:r>
        <w:t>高張力鋼板を使用しており、応力許容値は980MPaとして解析を行った。</w:t>
      </w:r>
    </w:p>
    <w:p>
      <w:pPr>
        <w:pStyle w:val="Heading2"/>
      </w:pPr>
      <w:r>
        <w:t>使用ソルバー</w:t>
      </w:r>
    </w:p>
    <w:p>
      <w:r>
        <w:t>Ansysを使用し、非線形強制応答解析を実施した。</w:t>
      </w:r>
    </w:p>
    <w:p>
      <w:pPr>
        <w:pStyle w:val="Heading2"/>
      </w:pPr>
      <w:r>
        <w:t>結果サマリー</w:t>
      </w:r>
    </w:p>
    <w:p>
      <w:r>
        <w:t>5kHz付近で最大振幅が2mmに達し、初期のメッシュサイズでは応力集中部の発見が難しかった。メッシュサイズを5mmにすることにより、詳細な応力分布が得られた。</w:t>
      </w:r>
    </w:p>
    <w:p>
      <w:r>
        <w:drawing>
          <wp:inline xmlns:a="http://schemas.openxmlformats.org/drawingml/2006/main" xmlns:pic="http://schemas.openxmlformats.org/drawingml/2006/picture">
            <wp:extent cx="3657600" cy="2560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560320"/>
                    </a:xfrm>
                    <a:prstGeom prst="rect"/>
                  </pic:spPr>
                </pic:pic>
              </a:graphicData>
            </a:graphic>
          </wp:inline>
        </w:drawing>
      </w:r>
    </w:p>
    <w:p>
      <w:pPr>
        <w:pStyle w:val="Heading2"/>
      </w:pPr>
      <w:r>
        <w:t>トラブルシューティング・教訓</w:t>
      </w:r>
    </w:p>
    <w:p>
      <w:r>
        <w:t>初期のメッシュサイズが10mmであったため、応力集中部を適切に捉えられなかった。これを5mmにすることで、最大の応力値が210MPaと見つかった。この教訓から、より精密なメッシュサイズで解析を行うことが重要であることを学ん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