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b/>
          <w:bCs/>
          <w:color w:val="000000"/>
          <w:sz w:val="36"/>
          <w:szCs w:val="36"/>
        </w:rPr>
      </w:pPr>
      <w:r>
        <w:rPr>
          <w:b/>
          <w:bCs/>
          <w:color w:val="000000"/>
          <w:sz w:val="36"/>
          <w:szCs w:val="36"/>
        </w:rPr>
        <w:t>武蔵野市における鉄道駅距離と居住人口の空間分析</w:t>
      </w:r>
    </w:p>
    <w:p>
      <w:pPr>
        <w:pStyle w:val="Subtitle"/>
        <w:jc w:val="center"/>
        <w:rPr>
          <w:rFonts w:hint="eastAsia"/>
          <w:b/>
          <w:bCs/>
          <w:color w:val="000000"/>
        </w:rPr>
      </w:pPr>
      <w:r>
        <w:rPr>
          <w:rFonts w:hint="eastAsia"/>
          <w:b/>
          <w:bCs/>
          <w:color w:val="000000"/>
        </w:rPr>
        <w:t>高人口</w:t>
      </w:r>
      <w:r>
        <w:rPr>
          <w:rFonts w:hint="eastAsia"/>
          <w:b/>
          <w:bCs/>
          <w:color w:val="000000"/>
        </w:rPr>
        <w:t>500m</w:t>
      </w:r>
      <w:r>
        <w:rPr>
          <w:rFonts w:hint="eastAsia"/>
          <w:b/>
          <w:bCs/>
          <w:color w:val="000000"/>
        </w:rPr>
        <w:t>メッシュの抽出と土地利用・昼間滞在の照合</w:t>
      </w:r>
    </w:p>
    <w:p>
      <w:pPr>
        <w:pStyle w:val="BodyText"/>
        <w:jc w:val="center"/>
        <w:rPr>
          <w:rFonts w:hint="eastAsia"/>
          <w:color w:val="000000"/>
        </w:rPr>
      </w:pPr>
      <w:r>
        <w:rPr>
          <w:rFonts w:hint="eastAsia"/>
          <w:color w:val="000000"/>
        </w:rPr>
      </w:r>
    </w:p>
    <w:p>
      <w:pPr>
        <w:pStyle w:val="Author"/>
        <w:jc w:val="center"/>
        <w:rPr>
          <w:color w:val="000000"/>
        </w:rPr>
      </w:pPr>
      <w:r>
        <w:rPr>
          <w:rFonts w:hint="eastAsia"/>
          <w:color w:val="000000"/>
        </w:rPr>
        <w:t>2026</w:t>
      </w:r>
      <w:r>
        <w:rPr>
          <w:rFonts w:hint="eastAsia"/>
          <w:color w:val="000000"/>
        </w:rPr>
        <w:t>年</w:t>
      </w:r>
      <w:r>
        <w:rPr>
          <w:rFonts w:hint="eastAsia"/>
          <w:color w:val="000000"/>
        </w:rPr>
        <w:t>09</w:t>
      </w:r>
      <w:r>
        <w:rPr>
          <w:rFonts w:hint="eastAsia"/>
          <w:color w:val="000000"/>
        </w:rPr>
        <w:t>月</w:t>
      </w:r>
      <w:r>
        <w:rPr>
          <w:rFonts w:hint="eastAsia"/>
          <w:color w:val="000000"/>
        </w:rPr>
        <w:t>27</w:t>
      </w:r>
      <w:r>
        <w:rPr>
          <w:rFonts w:hint="eastAsia"/>
          <w:color w:val="000000"/>
        </w:rPr>
        <w:t>日　吉田</w:t>
      </w:r>
      <w:r>
        <w:rPr>
          <w:color w:val="000000"/>
        </w:rPr>
        <w:t xml:space="preserve"> </w:t>
      </w:r>
      <w:r>
        <w:rPr>
          <w:rFonts w:hint="eastAsia"/>
          <w:color w:val="000000"/>
        </w:rPr>
        <w:t>悟志</w:t>
      </w:r>
    </w:p>
    <w:p>
      <w:pPr>
        <w:pStyle w:val="BodyText"/>
        <w:rPr>
          <w:color w:val="000000"/>
        </w:rPr>
      </w:pPr>
      <w:r>
        <w:rPr>
          <w:color w:val="000000"/>
        </w:rPr>
      </w:r>
    </w:p>
    <w:p>
      <w:pPr>
        <w:pStyle w:val="Heading4"/>
        <w:rPr>
          <w:b/>
          <w:bCs/>
          <w:i w:val="false"/>
          <w:iCs w:val="false"/>
          <w:color w:val="000000"/>
        </w:rPr>
      </w:pPr>
      <w:bookmarkStart w:id="0" w:name="はじめに"/>
      <w:r>
        <w:rPr>
          <w:b/>
          <w:bCs/>
          <w:i w:val="false"/>
          <w:iCs w:val="false"/>
          <w:color w:val="000000"/>
        </w:rPr>
        <w:t xml:space="preserve">1. </w:t>
      </w:r>
      <w:r>
        <w:rPr>
          <w:b/>
          <w:bCs/>
          <w:i w:val="false"/>
          <w:iCs w:val="false"/>
          <w:color w:val="000000"/>
        </w:rPr>
        <w:t>はじめに</w:t>
      </w:r>
    </w:p>
    <w:p>
      <w:pPr>
        <w:pStyle w:val="FirstParagraph"/>
        <w:rPr>
          <w:color w:val="000000"/>
        </w:rPr>
      </w:pPr>
      <w:r>
        <w:rPr>
          <w:color w:val="000000"/>
        </w:rPr>
        <w:t>　</w:t>
      </w:r>
      <w:r>
        <w:rPr>
          <w:rFonts w:hint="eastAsia"/>
          <w:color w:val="000000"/>
        </w:rPr>
        <w:t>本分析プロジェクトでは東京都武蔵野市における駅アクセスと都市構造をテーマに、</w:t>
      </w:r>
      <w:r>
        <w:rPr>
          <w:rFonts w:hint="eastAsia"/>
          <w:color w:val="000000"/>
        </w:rPr>
        <w:t>QGIS</w:t>
      </w:r>
      <w:r>
        <w:rPr>
          <w:rFonts w:hint="eastAsia"/>
          <w:color w:val="000000"/>
        </w:rPr>
        <w:t>を用いたデータの可視化および考察を行なった。自身の生活圏である武蔵野市を対象に居住人口の分布や都市構造との関係性について興味を持ったことがきっかけである。またプロジェクト型の</w:t>
      </w:r>
      <w:r>
        <w:rPr>
          <w:rFonts w:hint="eastAsia"/>
          <w:color w:val="000000"/>
        </w:rPr>
        <w:t>QGIS</w:t>
      </w:r>
      <w:r>
        <w:rPr>
          <w:rFonts w:hint="eastAsia"/>
          <w:color w:val="000000"/>
        </w:rPr>
        <w:t>学習という位置付けで、</w:t>
      </w:r>
      <w:r>
        <w:rPr>
          <w:rFonts w:hint="eastAsia"/>
          <w:color w:val="000000"/>
        </w:rPr>
        <w:t>GIS</w:t>
      </w:r>
      <w:r>
        <w:rPr>
          <w:rFonts w:hint="eastAsia"/>
          <w:color w:val="000000"/>
        </w:rPr>
        <w:t>ソフトウェアの学習を進めながら成果物の製作まで行うことを目的としている。</w:t>
      </w:r>
      <w:bookmarkEnd w:id="0"/>
    </w:p>
    <w:p>
      <w:pPr>
        <w:pStyle w:val="BodyText"/>
        <w:rPr>
          <w:rFonts w:hint="eastAsia"/>
          <w:color w:val="000000"/>
        </w:rPr>
      </w:pPr>
      <w:r>
        <w:rPr>
          <w:rFonts w:hint="eastAsia"/>
          <w:color w:val="000000"/>
        </w:rPr>
      </w:r>
    </w:p>
    <w:p>
      <w:pPr>
        <w:pStyle w:val="Heading4"/>
        <w:rPr>
          <w:b/>
          <w:bCs/>
          <w:i w:val="false"/>
          <w:iCs w:val="false"/>
          <w:color w:val="000000"/>
        </w:rPr>
      </w:pPr>
      <w:bookmarkStart w:id="1" w:name="分析方法"/>
      <w:r>
        <w:rPr>
          <w:b/>
          <w:bCs/>
          <w:i w:val="false"/>
          <w:iCs w:val="false"/>
          <w:color w:val="000000"/>
        </w:rPr>
        <w:t xml:space="preserve">2. </w:t>
      </w:r>
      <w:r>
        <w:rPr>
          <w:rFonts w:hint="eastAsia"/>
          <w:b/>
          <w:bCs/>
          <w:i w:val="false"/>
          <w:iCs w:val="false"/>
          <w:color w:val="000000"/>
        </w:rPr>
        <w:t>分析方法</w:t>
      </w:r>
    </w:p>
    <w:p>
      <w:pPr>
        <w:pStyle w:val="FirstParagraph"/>
        <w:rPr>
          <w:color w:val="000000"/>
        </w:rPr>
      </w:pPr>
      <w:r>
        <w:rPr>
          <w:color w:val="000000"/>
        </w:rPr>
        <w:t>　</w:t>
      </w:r>
      <w:r>
        <w:rPr>
          <w:rFonts w:hint="eastAsia"/>
          <w:color w:val="000000"/>
        </w:rPr>
        <w:t>本プロジェクトは「居住人口が多く、鉄道駅代表点から直線</w:t>
      </w:r>
      <w:r>
        <w:rPr>
          <w:rFonts w:hint="eastAsia"/>
          <w:color w:val="000000"/>
        </w:rPr>
        <w:t>800m</w:t>
      </w:r>
      <w:r>
        <w:rPr>
          <w:rFonts w:hint="eastAsia"/>
          <w:color w:val="000000"/>
        </w:rPr>
        <w:t>を超える地域はどこか」を主テーマとして分析を行なった。東京都武蔵野市を対象に、</w:t>
      </w:r>
      <w:r>
        <w:rPr>
          <w:rFonts w:hint="eastAsia"/>
          <w:color w:val="000000"/>
        </w:rPr>
        <w:t>2020</w:t>
      </w:r>
      <w:r>
        <w:rPr>
          <w:rFonts w:hint="eastAsia"/>
          <w:color w:val="000000"/>
        </w:rPr>
        <w:t>年国勢調査の</w:t>
      </w:r>
      <w:r>
        <w:rPr>
          <w:rFonts w:hint="eastAsia"/>
          <w:color w:val="000000"/>
        </w:rPr>
        <w:t>500m</w:t>
      </w:r>
      <w:r>
        <w:rPr>
          <w:rFonts w:hint="eastAsia"/>
          <w:color w:val="000000"/>
        </w:rPr>
        <w:t>メッシュ人口と鉄道駅代表点を、距離計算ができる</w:t>
      </w:r>
      <w:r>
        <w:rPr>
          <w:rFonts w:hint="eastAsia"/>
          <w:color w:val="000000"/>
        </w:rPr>
        <w:t>EPSG:6677</w:t>
      </w:r>
      <w:r>
        <w:rPr>
          <w:rFonts w:hint="eastAsia"/>
          <w:color w:val="000000"/>
        </w:rPr>
        <w:t>で分析した。</w:t>
      </w:r>
      <w:r>
        <w:rPr>
          <w:rFonts w:hint="eastAsia"/>
          <w:color w:val="000000"/>
        </w:rPr>
        <w:t>500m</w:t>
      </w:r>
      <w:r>
        <w:rPr>
          <w:rFonts w:hint="eastAsia"/>
          <w:color w:val="000000"/>
        </w:rPr>
        <w:t>メッシュの代表点（市境で</w:t>
      </w:r>
      <w:r>
        <w:rPr>
          <w:rFonts w:hint="eastAsia"/>
          <w:color w:val="000000"/>
        </w:rPr>
        <w:t>clip</w:t>
      </w:r>
      <w:r>
        <w:rPr>
          <w:rFonts w:hint="eastAsia"/>
          <w:color w:val="000000"/>
        </w:rPr>
        <w:t>しない完全メッシュから生成）</w:t>
      </w:r>
      <w:r>
        <w:rPr>
          <w:rFonts w:hint="eastAsia"/>
          <w:color w:val="000000"/>
        </w:rPr>
        <w:t>から最寄り駅代表点までの直線距離が</w:t>
      </w:r>
      <w:r>
        <w:rPr>
          <w:rFonts w:hint="eastAsia"/>
          <w:color w:val="000000"/>
        </w:rPr>
        <w:t>800m</w:t>
      </w:r>
      <w:r>
        <w:rPr>
          <w:rFonts w:hint="eastAsia"/>
          <w:color w:val="000000"/>
        </w:rPr>
        <w:t>以上（徒歩</w:t>
      </w:r>
      <w:r>
        <w:rPr>
          <w:rFonts w:hint="eastAsia"/>
          <w:color w:val="000000"/>
        </w:rPr>
        <w:t>10</w:t>
      </w:r>
      <w:r>
        <w:rPr>
          <w:rFonts w:hint="eastAsia"/>
          <w:color w:val="000000"/>
        </w:rPr>
        <w:t>分以上）、かつ人口が対象全</w:t>
      </w:r>
      <w:r>
        <w:rPr>
          <w:rFonts w:hint="eastAsia"/>
          <w:color w:val="000000"/>
        </w:rPr>
        <w:t>69</w:t>
      </w:r>
      <w:r>
        <w:rPr>
          <w:rFonts w:hint="eastAsia"/>
          <w:color w:val="000000"/>
        </w:rPr>
        <w:t>メッシュの人口第</w:t>
      </w:r>
      <w:r>
        <w:rPr>
          <w:rFonts w:hint="eastAsia"/>
          <w:color w:val="000000"/>
        </w:rPr>
        <w:t>3</w:t>
      </w:r>
      <w:r>
        <w:rPr>
          <w:rFonts w:hint="eastAsia"/>
          <w:color w:val="000000"/>
        </w:rPr>
        <w:t>四分位点（</w:t>
      </w:r>
      <w:r>
        <w:rPr>
          <w:rFonts w:hint="eastAsia"/>
          <w:color w:val="000000"/>
        </w:rPr>
        <w:t>P75</w:t>
      </w:r>
      <w:r>
        <w:rPr>
          <w:rFonts w:hint="eastAsia"/>
          <w:color w:val="000000"/>
        </w:rPr>
        <w:t>）である</w:t>
      </w:r>
      <w:r>
        <w:rPr>
          <w:rFonts w:hint="eastAsia"/>
          <w:color w:val="000000"/>
        </w:rPr>
        <w:t>4,420</w:t>
      </w:r>
      <w:r>
        <w:rPr>
          <w:rFonts w:hint="eastAsia"/>
          <w:color w:val="000000"/>
        </w:rPr>
        <w:t>人以上のメッシュを候補とした。</w:t>
      </w:r>
      <w:r>
        <w:rPr>
          <w:rFonts w:hint="eastAsia"/>
          <w:color w:val="000000"/>
        </w:rPr>
        <w:t>800m</w:t>
      </w:r>
      <w:r>
        <w:rPr>
          <w:rFonts w:hint="eastAsia"/>
          <w:color w:val="000000"/>
        </w:rPr>
        <w:t>は候補抽出用の設定値であり、道路に沿った徒歩時間を示さない。</w:t>
      </w:r>
    </w:p>
    <w:p>
      <w:pPr>
        <w:pStyle w:val="FirstParagraph"/>
        <w:rPr>
          <w:rFonts w:hint="eastAsia"/>
          <w:color w:val="000000"/>
        </w:rPr>
      </w:pPr>
      <w:r>
        <w:rPr>
          <w:rFonts w:hint="eastAsia"/>
          <w:color w:val="000000"/>
        </w:rPr>
        <w:t>　追加で</w:t>
      </w:r>
      <w:r>
        <w:rPr>
          <w:rFonts w:hint="eastAsia"/>
          <w:color w:val="000000"/>
        </w:rPr>
        <w:t>2021</w:t>
      </w:r>
      <w:r>
        <w:rPr>
          <w:rFonts w:hint="eastAsia"/>
          <w:color w:val="000000"/>
        </w:rPr>
        <w:t>年の</w:t>
      </w:r>
      <w:r>
        <w:rPr>
          <w:rFonts w:hint="eastAsia"/>
          <w:color w:val="000000"/>
        </w:rPr>
        <w:t>100m</w:t>
      </w:r>
      <w:r>
        <w:rPr>
          <w:rFonts w:hint="eastAsia"/>
          <w:color w:val="000000"/>
        </w:rPr>
        <w:t>土地利用メッシュを用いて、</w:t>
      </w:r>
      <w:r>
        <w:rPr>
          <w:rFonts w:hint="eastAsia"/>
          <w:color w:val="000000"/>
        </w:rPr>
        <w:t>500m</w:t>
      </w:r>
      <w:r>
        <w:rPr>
          <w:rFonts w:hint="eastAsia"/>
          <w:color w:val="000000"/>
        </w:rPr>
        <w:t>人口メッシュ全体に占める建物用地の面積割合を算出し土地利用分布と人口分布の関係を調べた。さらに人流データを利用して、</w:t>
      </w:r>
      <w:r>
        <w:rPr>
          <w:rFonts w:hint="eastAsia"/>
          <w:color w:val="000000"/>
        </w:rPr>
        <w:t>2019</w:t>
      </w:r>
      <w:r>
        <w:rPr>
          <w:rFonts w:hint="eastAsia"/>
          <w:color w:val="000000"/>
        </w:rPr>
        <w:t>年</w:t>
      </w:r>
      <w:r>
        <w:rPr>
          <w:rFonts w:hint="eastAsia"/>
          <w:color w:val="000000"/>
        </w:rPr>
        <w:t>10</w:t>
      </w:r>
      <w:r>
        <w:rPr>
          <w:rFonts w:hint="eastAsia"/>
          <w:color w:val="000000"/>
        </w:rPr>
        <w:t>月・平日昼間の推計滞在人口を可視化し、人口データとの照合を行なった。</w:t>
      </w:r>
      <w:bookmarkEnd w:id="1"/>
    </w:p>
    <w:p>
      <w:pPr>
        <w:pStyle w:val="BodyText"/>
        <w:rPr>
          <w:rFonts w:hint="eastAsia"/>
          <w:color w:val="000000"/>
        </w:rPr>
      </w:pPr>
      <w:r>
        <w:rPr>
          <w:rFonts w:hint="eastAsia"/>
          <w:color w:val="000000"/>
        </w:rPr>
      </w:r>
    </w:p>
    <w:p>
      <w:pPr>
        <w:pStyle w:val="Heading4"/>
        <w:rPr>
          <w:b/>
          <w:bCs/>
          <w:i w:val="false"/>
          <w:iCs w:val="false"/>
          <w:color w:val="000000"/>
        </w:rPr>
      </w:pPr>
      <w:r>
        <w:rPr>
          <w:b/>
          <w:bCs/>
          <w:i w:val="false"/>
          <w:iCs w:val="false"/>
          <w:color w:val="000000"/>
        </w:rPr>
        <w:t xml:space="preserve">3. </w:t>
      </w:r>
      <w:r>
        <w:rPr>
          <w:rFonts w:hint="eastAsia"/>
          <w:b/>
          <w:bCs/>
          <w:i w:val="false"/>
          <w:iCs w:val="false"/>
          <w:color w:val="000000"/>
        </w:rPr>
        <w:t>結果および考察</w:t>
      </w:r>
    </w:p>
    <w:p>
      <w:pPr>
        <w:pStyle w:val="FirstParagraph"/>
        <w:rPr/>
      </w:pPr>
      <w:r>
        <w:rPr>
          <w:color w:val="000000"/>
        </w:rPr>
        <w:t>　</w:t>
      </w:r>
      <w:r>
        <w:rPr>
          <w:rStyle w:val="Hyperlink"/>
          <w:rFonts w:hint="eastAsia"/>
          <w:color w:val="000000"/>
        </w:rPr>
        <w:t>図</w:t>
      </w:r>
      <w:r>
        <w:rPr>
          <w:rStyle w:val="Hyperlink"/>
          <w:rFonts w:hint="eastAsia"/>
          <w:color w:val="000000"/>
        </w:rPr>
        <w:t>1</w:t>
      </w:r>
      <w:r>
        <w:rPr>
          <w:rFonts w:hint="eastAsia"/>
          <w:color w:val="000000"/>
        </w:rPr>
        <w:t>に武蔵野市の</w:t>
      </w:r>
      <w:r>
        <w:rPr>
          <w:rFonts w:hint="eastAsia"/>
          <w:color w:val="000000"/>
        </w:rPr>
        <w:t>500m</w:t>
      </w:r>
      <w:r>
        <w:rPr>
          <w:rFonts w:hint="eastAsia"/>
          <w:color w:val="000000"/>
        </w:rPr>
        <w:t>メッシュにおける居住人口の分布と鉄道駅</w:t>
      </w:r>
      <w:r>
        <w:rPr>
          <w:rFonts w:hint="eastAsia"/>
          <w:color w:val="000000"/>
        </w:rPr>
        <w:t>800m</w:t>
      </w:r>
      <w:r>
        <w:rPr>
          <w:rFonts w:hint="eastAsia"/>
          <w:color w:val="000000"/>
        </w:rPr>
        <w:t>圏の関係を表したマップを示す。また</w:t>
      </w:r>
      <w:hyperlink w:anchor="tbl-1">
        <w:r>
          <w:rPr>
            <w:rStyle w:val="Hyperlink"/>
            <w:rFonts w:hint="eastAsia"/>
            <w:color w:val="000000"/>
          </w:rPr>
          <w:t>表</w:t>
        </w:r>
        <w:r>
          <w:rPr>
            <w:rStyle w:val="Hyperlink"/>
            <w:color w:val="000000"/>
          </w:rPr>
          <w:t>1</w:t>
        </w:r>
      </w:hyperlink>
      <w:r>
        <w:rPr>
          <w:rFonts w:hint="eastAsia"/>
          <w:color w:val="000000"/>
        </w:rPr>
        <w:t>に駅</w:t>
      </w:r>
      <w:r>
        <w:rPr>
          <w:rFonts w:hint="eastAsia"/>
          <w:color w:val="000000"/>
        </w:rPr>
        <w:t>800m</w:t>
      </w:r>
      <w:r>
        <w:rPr>
          <w:rFonts w:hint="eastAsia"/>
          <w:color w:val="000000"/>
        </w:rPr>
        <w:t>圏内外別の人口メッシュの統計量についてまとめ、</w:t>
      </w:r>
      <w:hyperlink w:anchor="tbl-2">
        <w:r>
          <w:rPr>
            <w:rStyle w:val="Hyperlink"/>
            <w:rFonts w:hint="eastAsia"/>
            <w:color w:val="000000"/>
          </w:rPr>
          <w:t>表</w:t>
        </w:r>
        <w:r>
          <w:rPr>
            <w:rStyle w:val="Hyperlink"/>
            <w:rFonts w:hint="eastAsia"/>
            <w:color w:val="000000"/>
          </w:rPr>
          <w:t>2</w:t>
        </w:r>
      </w:hyperlink>
      <w:r>
        <w:rPr>
          <w:rFonts w:hint="eastAsia"/>
          <w:color w:val="000000"/>
        </w:rPr>
        <w:t>には駅</w:t>
      </w:r>
      <w:r>
        <w:rPr>
          <w:rFonts w:hint="eastAsia"/>
          <w:color w:val="000000"/>
        </w:rPr>
        <w:t>800m</w:t>
      </w:r>
      <w:r>
        <w:rPr>
          <w:rFonts w:hint="eastAsia"/>
          <w:color w:val="000000"/>
        </w:rPr>
        <w:t>圏外かつ完全市内に位置する</w:t>
      </w:r>
      <w:r>
        <w:rPr>
          <w:rFonts w:hint="eastAsia"/>
          <w:color w:val="000000"/>
        </w:rPr>
        <w:t>P75</w:t>
      </w:r>
      <w:r>
        <w:rPr>
          <w:rFonts w:hint="eastAsia"/>
          <w:color w:val="000000"/>
        </w:rPr>
        <w:t>以上の高人口メッシュの分析結果を示す。全</w:t>
      </w:r>
      <w:r>
        <w:rPr>
          <w:rFonts w:hint="eastAsia"/>
          <w:color w:val="000000"/>
        </w:rPr>
        <w:t>69</w:t>
      </w:r>
      <w:r>
        <w:rPr>
          <w:rFonts w:hint="eastAsia"/>
          <w:color w:val="000000"/>
        </w:rPr>
        <w:t>メッシュのうち</w:t>
      </w:r>
      <w:r>
        <w:rPr>
          <w:rFonts w:hint="eastAsia"/>
          <w:color w:val="000000"/>
        </w:rPr>
        <w:t>37</w:t>
      </w:r>
      <w:r>
        <w:rPr>
          <w:rFonts w:hint="eastAsia"/>
          <w:color w:val="000000"/>
        </w:rPr>
        <w:t>件（</w:t>
      </w:r>
      <w:r>
        <w:rPr>
          <w:rFonts w:hint="eastAsia"/>
          <w:color w:val="000000"/>
        </w:rPr>
        <w:t>53.6%</w:t>
      </w:r>
      <w:r>
        <w:rPr>
          <w:rFonts w:hint="eastAsia"/>
          <w:color w:val="000000"/>
        </w:rPr>
        <w:t>）は代表点が最寄り駅代表点から直線</w:t>
      </w:r>
      <w:r>
        <w:rPr>
          <w:rFonts w:hint="eastAsia"/>
          <w:color w:val="000000"/>
        </w:rPr>
        <w:t>800m</w:t>
      </w:r>
      <w:r>
        <w:rPr>
          <w:rFonts w:hint="eastAsia"/>
          <w:color w:val="000000"/>
        </w:rPr>
        <w:t>以上であった。人口</w:t>
      </w:r>
      <w:r>
        <w:rPr>
          <w:rFonts w:hint="eastAsia"/>
          <w:color w:val="000000"/>
        </w:rPr>
        <w:t>P75</w:t>
      </w:r>
      <w:r>
        <w:rPr>
          <w:rFonts w:hint="eastAsia"/>
          <w:color w:val="000000"/>
        </w:rPr>
        <w:t>以上の候補</w:t>
      </w:r>
      <w:r>
        <w:rPr>
          <w:rFonts w:hint="eastAsia"/>
          <w:color w:val="000000"/>
        </w:rPr>
        <w:t>6</w:t>
      </w:r>
      <w:r>
        <w:rPr>
          <w:rFonts w:hint="eastAsia"/>
          <w:color w:val="000000"/>
        </w:rPr>
        <w:t>件のうち、市境をまたぐ参考候補</w:t>
      </w:r>
      <w:r>
        <w:rPr>
          <w:rFonts w:hint="eastAsia"/>
          <w:color w:val="000000"/>
        </w:rPr>
        <w:t>2</w:t>
      </w:r>
      <w:r>
        <w:rPr>
          <w:rFonts w:hint="eastAsia"/>
          <w:color w:val="000000"/>
        </w:rPr>
        <w:t>件を除いた完全市内の主要候補</w:t>
      </w:r>
      <w:r>
        <w:rPr>
          <w:rFonts w:hint="eastAsia"/>
          <w:color w:val="000000"/>
        </w:rPr>
        <w:t>4</w:t>
      </w:r>
      <w:r>
        <w:rPr>
          <w:rFonts w:hint="eastAsia"/>
          <w:color w:val="000000"/>
        </w:rPr>
        <w:t>件（</w:t>
      </w:r>
      <w:hyperlink w:anchor="fig-1">
        <w:r>
          <w:rPr>
            <w:rStyle w:val="Hyperlink"/>
            <w:rFonts w:hint="eastAsia"/>
            <w:color w:val="000000"/>
          </w:rPr>
          <w:t>図</w:t>
        </w:r>
        <w:r>
          <w:rPr>
            <w:rStyle w:val="Hyperlink"/>
            <w:rFonts w:hint="eastAsia"/>
            <w:color w:val="000000"/>
          </w:rPr>
          <w:t>1</w:t>
        </w:r>
      </w:hyperlink>
      <w:r>
        <w:rPr>
          <w:rFonts w:hint="eastAsia"/>
          <w:color w:val="000000"/>
        </w:rPr>
        <w:t>の赤枠で表示）は市北部中央に隣接し、最寄り駅はいずれも三鷹駅だった。</w:t>
      </w:r>
      <w:r>
        <w:rPr>
          <w:rFonts w:hint="eastAsia"/>
          <w:color w:val="000000"/>
        </w:rPr>
        <w:t>37</w:t>
      </w:r>
      <w:r>
        <w:rPr>
          <w:rFonts w:hint="eastAsia"/>
          <w:color w:val="000000"/>
        </w:rPr>
        <w:t>件という件数は分析対象メッシュ数の割合であり、市域面積や市民の</w:t>
      </w:r>
      <w:r>
        <w:rPr>
          <w:rFonts w:hint="eastAsia"/>
          <w:color w:val="000000"/>
        </w:rPr>
        <w:t>53.6%</w:t>
      </w:r>
      <w:r>
        <w:rPr>
          <w:rFonts w:hint="eastAsia"/>
          <w:color w:val="000000"/>
        </w:rPr>
        <w:t>を意味しない。圏外メッシュの平均人口と中央値は圏内より低かったが、最大人口は圏内を上回った。この結果から、市北部中央には鉄道駅への空間的近接性が相対的に低い高人口地域が集中している可能性が示された。</w:t>
      </w:r>
    </w:p>
    <w:tbl>
      <w:tblPr>
        <w:tblStyle w:val="Table"/>
        <w:tblW w:w="5000" w:type="pct"/>
        <w:jc w:val="left"/>
        <w:tblInd w:w="0" w:type="dxa"/>
        <w:tblLayout w:type="fixed"/>
        <w:tblCellMar>
          <w:top w:w="55" w:type="dxa"/>
          <w:left w:w="108" w:type="dxa"/>
          <w:bottom w:w="55" w:type="dxa"/>
          <w:right w:w="108" w:type="dxa"/>
        </w:tblCellMar>
        <w:tblLook w:noHBand="0" w:lastColumn="0" w:firstColumn="0" w:lastRow="0" w:firstRow="0" w:noVBand="0" w:val="0000"/>
      </w:tblPr>
      <w:tblGrid>
        <w:gridCol w:w="9026"/>
      </w:tblGrid>
      <w:tr>
        <w:trPr/>
        <w:tc>
          <w:tcPr>
            <w:tcW w:w="9026" w:type="dxa"/>
            <w:tcBorders/>
          </w:tcPr>
          <w:p>
            <w:pPr>
              <w:pStyle w:val="ImageCaption"/>
              <w:widowControl/>
              <w:spacing w:before="200" w:after="120"/>
              <w:jc w:val="center"/>
              <w:rPr>
                <w:rFonts w:ascii="Aptos" w:hAnsi="Aptos" w:eastAsia="" w:cs=""/>
                <w:b/>
                <w:bCs/>
                <w:i w:val="false"/>
                <w:iCs w:val="false"/>
                <w:color w:val="000000"/>
                <w:kern w:val="0"/>
                <w:sz w:val="24"/>
                <w:szCs w:val="24"/>
                <w:lang w:val="en-US" w:eastAsia="ja-JP" w:bidi="ar-SA"/>
              </w:rPr>
            </w:pPr>
            <w:r>
              <w:rPr>
                <w:rFonts w:ascii="Aptos" w:hAnsi="Aptos" w:cs="" w:hint="eastAsia"/>
                <w:b/>
                <w:bCs/>
                <w:i w:val="false"/>
                <w:iCs w:val="false"/>
                <w:color w:val="000000"/>
                <w:kern w:val="0"/>
                <w:sz w:val="24"/>
                <w:szCs w:val="24"/>
                <w:lang w:val="en-US" w:eastAsia="ja-JP" w:bidi="ar-SA"/>
              </w:rPr>
              <w:t>表</w:t>
            </w:r>
            <w:r>
              <w:rPr>
                <w:rFonts w:eastAsia="" w:cs="" w:hint="eastAsia"/>
                <w:b/>
                <w:bCs/>
                <w:i w:val="false"/>
                <w:iCs w:val="false"/>
                <w:color w:val="000000"/>
                <w:kern w:val="0"/>
                <w:sz w:val="24"/>
                <w:szCs w:val="24"/>
                <w:lang w:val="en-US" w:eastAsia="ja-JP" w:bidi="ar-SA"/>
              </w:rPr>
              <w:t>1</w:t>
            </w:r>
            <w:r>
              <w:rPr>
                <w:rFonts w:ascii="Aptos" w:hAnsi="Aptos" w:cs="" w:hint="eastAsia"/>
                <w:b/>
                <w:bCs/>
                <w:i w:val="false"/>
                <w:iCs w:val="false"/>
                <w:color w:val="000000"/>
                <w:kern w:val="0"/>
                <w:sz w:val="24"/>
                <w:szCs w:val="24"/>
                <w:lang w:val="en-US" w:eastAsia="ja-JP" w:bidi="ar-SA"/>
              </w:rPr>
              <w:t>　</w:t>
            </w:r>
            <w:r>
              <w:rPr>
                <w:rFonts w:ascii="Aptos" w:hAnsi="Aptos" w:cs="" w:hint="eastAsia"/>
                <w:b/>
                <w:bCs/>
                <w:i w:val="false"/>
                <w:iCs w:val="false"/>
                <w:color w:val="000000"/>
                <w:kern w:val="0"/>
                <w:sz w:val="24"/>
                <w:szCs w:val="24"/>
                <w:lang w:val="en-US" w:eastAsia="ja-JP" w:bidi="ar-SA"/>
              </w:rPr>
              <w:t>駅</w:t>
            </w:r>
            <w:r>
              <w:rPr>
                <w:rFonts w:eastAsia="" w:cs="" w:hint="eastAsia"/>
                <w:b/>
                <w:bCs/>
                <w:i w:val="false"/>
                <w:iCs w:val="false"/>
                <w:color w:val="000000"/>
                <w:kern w:val="0"/>
                <w:sz w:val="24"/>
                <w:szCs w:val="24"/>
                <w:lang w:val="en-US" w:eastAsia="ja-JP" w:bidi="ar-SA"/>
              </w:rPr>
              <w:t>800m</w:t>
            </w:r>
            <w:r>
              <w:rPr>
                <w:rFonts w:ascii="Aptos" w:hAnsi="Aptos" w:cs="" w:hint="eastAsia"/>
                <w:b/>
                <w:bCs/>
                <w:i w:val="false"/>
                <w:iCs w:val="false"/>
                <w:color w:val="000000"/>
                <w:kern w:val="0"/>
                <w:sz w:val="24"/>
                <w:szCs w:val="24"/>
                <w:lang w:val="en-US" w:eastAsia="ja-JP" w:bidi="ar-SA"/>
              </w:rPr>
              <w:t>圏内外別の</w:t>
            </w:r>
            <w:r>
              <w:rPr>
                <w:rFonts w:eastAsia="" w:cs="" w:hint="eastAsia"/>
                <w:b/>
                <w:bCs/>
                <w:i w:val="false"/>
                <w:iCs w:val="false"/>
                <w:color w:val="000000"/>
                <w:kern w:val="0"/>
                <w:sz w:val="24"/>
                <w:szCs w:val="24"/>
                <w:lang w:val="en-US" w:eastAsia="ja-JP" w:bidi="ar-SA"/>
              </w:rPr>
              <w:t>500m</w:t>
            </w:r>
            <w:r>
              <w:rPr>
                <w:rFonts w:ascii="Aptos" w:hAnsi="Aptos" w:cs="" w:hint="eastAsia"/>
                <w:b/>
                <w:bCs/>
                <w:i w:val="false"/>
                <w:iCs w:val="false"/>
                <w:color w:val="000000"/>
                <w:kern w:val="0"/>
                <w:sz w:val="24"/>
                <w:szCs w:val="24"/>
                <w:lang w:val="en-US" w:eastAsia="ja-JP" w:bidi="ar-SA"/>
              </w:rPr>
              <w:t>人口メッシュの</w:t>
            </w:r>
            <w:r>
              <w:rPr>
                <w:rFonts w:ascii="Aptos" w:hAnsi="Aptos" w:cs="" w:hint="eastAsia"/>
                <w:b/>
                <w:bCs/>
                <w:i w:val="false"/>
                <w:iCs w:val="false"/>
                <w:color w:val="000000"/>
                <w:kern w:val="0"/>
                <w:sz w:val="24"/>
                <w:szCs w:val="24"/>
                <w:lang w:val="en-US" w:eastAsia="ja-JP" w:bidi="ar-SA"/>
              </w:rPr>
              <w:t>統計量</w:t>
            </w:r>
          </w:p>
          <w:tbl>
            <w:tblPr>
              <w:tblStyle w:val="Table"/>
              <w:tblW w:w="7920" w:type="dxa"/>
              <w:jc w:val="center"/>
              <w:tblInd w:w="0" w:type="dxa"/>
              <w:tblLayout w:type="fixed"/>
              <w:tblCellMar>
                <w:top w:w="0" w:type="dxa"/>
                <w:left w:w="108" w:type="dxa"/>
                <w:bottom w:w="0" w:type="dxa"/>
                <w:right w:w="108" w:type="dxa"/>
              </w:tblCellMar>
              <w:tblLook w:noHBand="0" w:lastColumn="0" w:firstColumn="0" w:lastRow="0" w:firstRow="1" w:noVBand="0" w:val="0020"/>
            </w:tblPr>
            <w:tblGrid>
              <w:gridCol w:w="1455"/>
              <w:gridCol w:w="1440"/>
              <w:gridCol w:w="1538"/>
              <w:gridCol w:w="1620"/>
              <w:gridCol w:w="1867"/>
            </w:tblGrid>
            <w:tr>
              <w:trPr>
                <w:tblHeader w:val="true"/>
              </w:trPr>
              <w:tc>
                <w:tcPr>
                  <w:tcW w:w="1455" w:type="dxa"/>
                  <w:tcBorders>
                    <w:bottom w:val="single" w:sz="6" w:space="0" w:color="000000"/>
                  </w:tcBorders>
                  <w:vAlign w:val="bottom"/>
                </w:tcPr>
                <w:p>
                  <w:pPr>
                    <w:pStyle w:val="Compact"/>
                    <w:widowControl/>
                    <w:spacing w:before="36" w:after="36"/>
                    <w:jc w:val="center"/>
                    <w:rPr>
                      <w:rFonts w:ascii="Aptos" w:hAnsi="Aptos" w:eastAsia="" w:cs=""/>
                      <w:color w:val="000000"/>
                      <w:kern w:val="0"/>
                      <w:sz w:val="24"/>
                      <w:szCs w:val="24"/>
                      <w:lang w:val="en-US" w:eastAsia="ja-JP" w:bidi="ar-SA"/>
                    </w:rPr>
                  </w:pPr>
                  <w:r>
                    <w:rPr>
                      <w:rFonts w:ascii="Aptos" w:hAnsi="Aptos" w:cs="" w:hint="eastAsia"/>
                      <w:color w:val="000000"/>
                      <w:kern w:val="0"/>
                      <w:sz w:val="24"/>
                      <w:szCs w:val="24"/>
                      <w:lang w:val="en-US" w:eastAsia="ja-JP" w:bidi="ar-SA"/>
                    </w:rPr>
                    <w:t>区分</w:t>
                  </w:r>
                </w:p>
              </w:tc>
              <w:tc>
                <w:tcPr>
                  <w:tcW w:w="1440" w:type="dxa"/>
                  <w:tcBorders>
                    <w:bottom w:val="single" w:sz="6" w:space="0" w:color="000000"/>
                  </w:tcBorders>
                  <w:vAlign w:val="bottom"/>
                </w:tcPr>
                <w:p>
                  <w:pPr>
                    <w:pStyle w:val="Compact"/>
                    <w:widowControl/>
                    <w:spacing w:before="36" w:after="36"/>
                    <w:jc w:val="center"/>
                    <w:rPr>
                      <w:rFonts w:ascii="Aptos" w:hAnsi="Aptos" w:eastAsia="" w:cs=""/>
                      <w:color w:val="000000"/>
                      <w:kern w:val="0"/>
                      <w:sz w:val="24"/>
                      <w:szCs w:val="24"/>
                      <w:lang w:val="en-US" w:eastAsia="ja-JP" w:bidi="ar-SA"/>
                    </w:rPr>
                  </w:pPr>
                  <w:r>
                    <w:rPr>
                      <w:rFonts w:ascii="Aptos" w:hAnsi="Aptos" w:cs=""/>
                      <w:color w:val="000000"/>
                      <w:kern w:val="0"/>
                      <w:sz w:val="24"/>
                      <w:szCs w:val="24"/>
                      <w:lang w:val="en-US" w:eastAsia="ja-JP" w:bidi="ar-SA"/>
                    </w:rPr>
                    <w:t>メッシュ数</w:t>
                  </w:r>
                </w:p>
              </w:tc>
              <w:tc>
                <w:tcPr>
                  <w:tcW w:w="1538" w:type="dxa"/>
                  <w:tcBorders>
                    <w:bottom w:val="single" w:sz="6" w:space="0" w:color="000000"/>
                  </w:tcBorders>
                  <w:vAlign w:val="bottom"/>
                </w:tcPr>
                <w:p>
                  <w:pPr>
                    <w:pStyle w:val="Compact"/>
                    <w:widowControl/>
                    <w:spacing w:before="36" w:after="36"/>
                    <w:jc w:val="center"/>
                    <w:rPr>
                      <w:rFonts w:ascii="Aptos" w:hAnsi="Aptos" w:eastAsia="" w:cs=""/>
                      <w:color w:val="000000"/>
                      <w:kern w:val="0"/>
                      <w:sz w:val="24"/>
                      <w:szCs w:val="24"/>
                      <w:lang w:val="en-US" w:eastAsia="ja-JP" w:bidi="ar-SA"/>
                    </w:rPr>
                  </w:pPr>
                  <w:r>
                    <w:rPr>
                      <w:rFonts w:ascii="Aptos" w:hAnsi="Aptos" w:cs=""/>
                      <w:color w:val="000000"/>
                      <w:kern w:val="0"/>
                      <w:sz w:val="24"/>
                      <w:szCs w:val="24"/>
                      <w:lang w:val="en-US" w:eastAsia="ja-JP" w:bidi="ar-SA"/>
                    </w:rPr>
                    <w:t xml:space="preserve">平均値 </w:t>
                  </w:r>
                  <w:r>
                    <w:rPr>
                      <w:rFonts w:eastAsia="" w:cs=""/>
                      <w:color w:val="000000"/>
                      <w:kern w:val="0"/>
                      <w:sz w:val="24"/>
                      <w:szCs w:val="24"/>
                      <w:lang w:val="en-US" w:eastAsia="ja-JP" w:bidi="ar-SA"/>
                    </w:rPr>
                    <w:t>(</w:t>
                  </w:r>
                  <w:r>
                    <w:rPr>
                      <w:rFonts w:ascii="Aptos" w:hAnsi="Aptos" w:cs=""/>
                      <w:color w:val="000000"/>
                      <w:kern w:val="0"/>
                      <w:sz w:val="24"/>
                      <w:szCs w:val="24"/>
                      <w:lang w:val="en-US" w:eastAsia="ja-JP" w:bidi="ar-SA"/>
                    </w:rPr>
                    <w:t>人</w:t>
                  </w:r>
                  <w:r>
                    <w:rPr>
                      <w:rFonts w:eastAsia="" w:cs=""/>
                      <w:color w:val="000000"/>
                      <w:kern w:val="0"/>
                      <w:sz w:val="24"/>
                      <w:szCs w:val="24"/>
                      <w:lang w:val="en-US" w:eastAsia="ja-JP" w:bidi="ar-SA"/>
                    </w:rPr>
                    <w:t>)</w:t>
                  </w:r>
                </w:p>
              </w:tc>
              <w:tc>
                <w:tcPr>
                  <w:tcW w:w="1620" w:type="dxa"/>
                  <w:tcBorders>
                    <w:bottom w:val="single" w:sz="6" w:space="0" w:color="000000"/>
                  </w:tcBorders>
                  <w:vAlign w:val="bottom"/>
                </w:tcPr>
                <w:p>
                  <w:pPr>
                    <w:pStyle w:val="Compact"/>
                    <w:widowControl/>
                    <w:spacing w:before="36" w:after="36"/>
                    <w:jc w:val="center"/>
                    <w:rPr>
                      <w:rFonts w:ascii="Aptos" w:hAnsi="Aptos" w:eastAsia="" w:cs=""/>
                      <w:color w:val="000000"/>
                      <w:kern w:val="0"/>
                      <w:sz w:val="24"/>
                      <w:szCs w:val="24"/>
                      <w:lang w:val="en-US" w:eastAsia="ja-JP" w:bidi="ar-SA"/>
                    </w:rPr>
                  </w:pPr>
                  <w:r>
                    <w:rPr>
                      <w:rFonts w:ascii="Aptos" w:hAnsi="Aptos" w:cs=""/>
                      <w:color w:val="000000"/>
                      <w:kern w:val="0"/>
                      <w:sz w:val="24"/>
                      <w:szCs w:val="24"/>
                      <w:lang w:val="en-US" w:eastAsia="ja-JP" w:bidi="ar-SA"/>
                    </w:rPr>
                    <w:t xml:space="preserve">中央値 </w:t>
                  </w:r>
                  <w:r>
                    <w:rPr>
                      <w:rFonts w:eastAsia="" w:cs=""/>
                      <w:color w:val="000000"/>
                      <w:kern w:val="0"/>
                      <w:sz w:val="24"/>
                      <w:szCs w:val="24"/>
                      <w:lang w:val="en-US" w:eastAsia="ja-JP" w:bidi="ar-SA"/>
                    </w:rPr>
                    <w:t>(</w:t>
                  </w:r>
                  <w:r>
                    <w:rPr>
                      <w:rFonts w:ascii="Aptos" w:hAnsi="Aptos" w:cs=""/>
                      <w:color w:val="000000"/>
                      <w:kern w:val="0"/>
                      <w:sz w:val="24"/>
                      <w:szCs w:val="24"/>
                      <w:lang w:val="en-US" w:eastAsia="ja-JP" w:bidi="ar-SA"/>
                    </w:rPr>
                    <w:t>人</w:t>
                  </w:r>
                  <w:r>
                    <w:rPr>
                      <w:rFonts w:eastAsia="" w:cs=""/>
                      <w:color w:val="000000"/>
                      <w:kern w:val="0"/>
                      <w:sz w:val="24"/>
                      <w:szCs w:val="24"/>
                      <w:lang w:val="en-US" w:eastAsia="ja-JP" w:bidi="ar-SA"/>
                    </w:rPr>
                    <w:t>)</w:t>
                  </w:r>
                </w:p>
              </w:tc>
              <w:tc>
                <w:tcPr>
                  <w:tcW w:w="1867" w:type="dxa"/>
                  <w:tcBorders>
                    <w:bottom w:val="single" w:sz="6" w:space="0" w:color="000000"/>
                  </w:tcBorders>
                  <w:vAlign w:val="bottom"/>
                </w:tcPr>
                <w:p>
                  <w:pPr>
                    <w:pStyle w:val="Compact"/>
                    <w:widowControl/>
                    <w:spacing w:before="36" w:after="36"/>
                    <w:jc w:val="center"/>
                    <w:rPr>
                      <w:rFonts w:ascii="Aptos" w:hAnsi="Aptos" w:eastAsia="" w:cs=""/>
                      <w:color w:val="000000"/>
                      <w:kern w:val="0"/>
                      <w:sz w:val="24"/>
                      <w:szCs w:val="24"/>
                      <w:lang w:val="en-US" w:eastAsia="ja-JP" w:bidi="ar-SA"/>
                    </w:rPr>
                  </w:pPr>
                  <w:r>
                    <w:rPr>
                      <w:rFonts w:ascii="Aptos" w:hAnsi="Aptos" w:cs=""/>
                      <w:color w:val="000000"/>
                      <w:kern w:val="0"/>
                      <w:sz w:val="24"/>
                      <w:szCs w:val="24"/>
                      <w:lang w:val="en-US" w:eastAsia="ja-JP" w:bidi="ar-SA"/>
                    </w:rPr>
                    <w:t xml:space="preserve">最大値 </w:t>
                  </w:r>
                  <w:r>
                    <w:rPr>
                      <w:rFonts w:eastAsia="" w:cs=""/>
                      <w:color w:val="000000"/>
                      <w:kern w:val="0"/>
                      <w:sz w:val="24"/>
                      <w:szCs w:val="24"/>
                      <w:lang w:val="en-US" w:eastAsia="ja-JP" w:bidi="ar-SA"/>
                    </w:rPr>
                    <w:t>(</w:t>
                  </w:r>
                  <w:r>
                    <w:rPr>
                      <w:rFonts w:ascii="Aptos" w:hAnsi="Aptos" w:cs=""/>
                      <w:color w:val="000000"/>
                      <w:kern w:val="0"/>
                      <w:sz w:val="24"/>
                      <w:szCs w:val="24"/>
                      <w:lang w:val="en-US" w:eastAsia="ja-JP" w:bidi="ar-SA"/>
                    </w:rPr>
                    <w:t>人</w:t>
                  </w:r>
                  <w:r>
                    <w:rPr>
                      <w:rFonts w:eastAsia="" w:cs=""/>
                      <w:color w:val="000000"/>
                      <w:kern w:val="0"/>
                      <w:sz w:val="24"/>
                      <w:szCs w:val="24"/>
                      <w:lang w:val="en-US" w:eastAsia="ja-JP" w:bidi="ar-SA"/>
                    </w:rPr>
                    <w:t>)</w:t>
                  </w:r>
                </w:p>
              </w:tc>
            </w:tr>
            <w:tr>
              <w:trPr/>
              <w:tc>
                <w:tcPr>
                  <w:tcW w:w="1455"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hint="eastAsia"/>
                      <w:color w:val="000000"/>
                      <w:kern w:val="0"/>
                      <w:sz w:val="24"/>
                      <w:szCs w:val="24"/>
                      <w:lang w:val="en-US" w:eastAsia="ja-JP" w:bidi="ar-SA"/>
                    </w:rPr>
                    <w:t>800m</w:t>
                  </w:r>
                  <w:r>
                    <w:rPr>
                      <w:rFonts w:ascii="Aptos" w:hAnsi="Aptos" w:cs="" w:hint="eastAsia"/>
                      <w:color w:val="000000"/>
                      <w:kern w:val="0"/>
                      <w:sz w:val="24"/>
                      <w:szCs w:val="24"/>
                      <w:lang w:val="en-US" w:eastAsia="ja-JP" w:bidi="ar-SA"/>
                    </w:rPr>
                    <w:t>圏内</w:t>
                  </w:r>
                </w:p>
              </w:tc>
              <w:tc>
                <w:tcPr>
                  <w:tcW w:w="144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32</w:t>
                  </w:r>
                </w:p>
              </w:tc>
              <w:tc>
                <w:tcPr>
                  <w:tcW w:w="1538"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4014</w:t>
                  </w:r>
                </w:p>
              </w:tc>
              <w:tc>
                <w:tcPr>
                  <w:tcW w:w="162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3881</w:t>
                  </w:r>
                </w:p>
              </w:tc>
              <w:tc>
                <w:tcPr>
                  <w:tcW w:w="1867"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6130</w:t>
                  </w:r>
                </w:p>
              </w:tc>
            </w:tr>
            <w:tr>
              <w:trPr/>
              <w:tc>
                <w:tcPr>
                  <w:tcW w:w="1455"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hint="eastAsia"/>
                      <w:color w:val="000000"/>
                      <w:kern w:val="0"/>
                      <w:sz w:val="24"/>
                      <w:szCs w:val="24"/>
                      <w:lang w:val="en-US" w:eastAsia="ja-JP" w:bidi="ar-SA"/>
                    </w:rPr>
                    <w:t>800m</w:t>
                  </w:r>
                  <w:r>
                    <w:rPr>
                      <w:rFonts w:ascii="Aptos" w:hAnsi="Aptos" w:cs="" w:hint="eastAsia"/>
                      <w:color w:val="000000"/>
                      <w:kern w:val="0"/>
                      <w:sz w:val="24"/>
                      <w:szCs w:val="24"/>
                      <w:lang w:val="en-US" w:eastAsia="ja-JP" w:bidi="ar-SA"/>
                    </w:rPr>
                    <w:t>圏外</w:t>
                  </w:r>
                </w:p>
              </w:tc>
              <w:tc>
                <w:tcPr>
                  <w:tcW w:w="144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37</w:t>
                  </w:r>
                </w:p>
              </w:tc>
              <w:tc>
                <w:tcPr>
                  <w:tcW w:w="1538"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3314</w:t>
                  </w:r>
                </w:p>
              </w:tc>
              <w:tc>
                <w:tcPr>
                  <w:tcW w:w="162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3384</w:t>
                  </w:r>
                </w:p>
              </w:tc>
              <w:tc>
                <w:tcPr>
                  <w:tcW w:w="1867"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6853</w:t>
                  </w:r>
                  <w:bookmarkStart w:id="2" w:name="tbl-1"/>
                  <w:bookmarkEnd w:id="2"/>
                </w:p>
              </w:tc>
            </w:tr>
          </w:tbl>
          <w:p>
            <w:pPr>
              <w:pStyle w:val="Normal"/>
              <w:widowControl/>
              <w:spacing w:before="0" w:after="200"/>
              <w:jc w:val="left"/>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r>
          </w:p>
        </w:tc>
      </w:tr>
    </w:tbl>
    <w:p>
      <w:pPr>
        <w:pStyle w:val="Normal"/>
        <w:rPr>
          <w:color w:val="000000"/>
        </w:rPr>
      </w:pPr>
      <w:r>
        <w:rPr>
          <w:color w:val="000000"/>
        </w:rPr>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0" w:noVBand="0" w:val="0000"/>
      </w:tblPr>
      <w:tblGrid>
        <w:gridCol w:w="9026"/>
      </w:tblGrid>
      <w:tr>
        <w:trPr/>
        <w:tc>
          <w:tcPr>
            <w:tcW w:w="9026" w:type="dxa"/>
            <w:tcBorders/>
          </w:tcPr>
          <w:p>
            <w:pPr>
              <w:pStyle w:val="ImageCaption"/>
              <w:widowControl/>
              <w:spacing w:before="200" w:after="120"/>
              <w:jc w:val="center"/>
              <w:rPr>
                <w:rFonts w:ascii="Aptos" w:hAnsi="Aptos" w:eastAsia="" w:cs=""/>
                <w:b/>
                <w:bCs/>
                <w:i w:val="false"/>
                <w:iCs w:val="false"/>
                <w:color w:val="000000"/>
                <w:kern w:val="0"/>
                <w:sz w:val="24"/>
                <w:szCs w:val="24"/>
                <w:lang w:val="en-US" w:eastAsia="ja-JP" w:bidi="ar-SA"/>
              </w:rPr>
            </w:pPr>
            <w:r>
              <w:rPr>
                <w:rFonts w:ascii="Aptos" w:hAnsi="Aptos" w:cs="" w:hint="eastAsia"/>
                <w:b/>
                <w:bCs/>
                <w:i w:val="false"/>
                <w:iCs w:val="false"/>
                <w:color w:val="000000"/>
                <w:kern w:val="0"/>
                <w:sz w:val="24"/>
                <w:szCs w:val="24"/>
                <w:lang w:val="en-US" w:eastAsia="ja-JP" w:bidi="ar-SA"/>
              </w:rPr>
              <w:t>表</w:t>
            </w:r>
            <w:r>
              <w:rPr>
                <w:rFonts w:eastAsia="" w:cs=""/>
                <w:b/>
                <w:bCs/>
                <w:i w:val="false"/>
                <w:iCs w:val="false"/>
                <w:color w:val="000000"/>
                <w:kern w:val="0"/>
                <w:sz w:val="24"/>
                <w:szCs w:val="24"/>
                <w:lang w:val="en-US" w:eastAsia="ja-JP" w:bidi="ar-SA"/>
              </w:rPr>
              <w:t>2</w:t>
            </w:r>
            <w:r>
              <w:rPr>
                <w:rFonts w:ascii="Aptos" w:hAnsi="Aptos" w:cs=""/>
                <w:b/>
                <w:bCs/>
                <w:i w:val="false"/>
                <w:iCs w:val="false"/>
                <w:color w:val="000000"/>
                <w:kern w:val="0"/>
                <w:sz w:val="24"/>
                <w:szCs w:val="24"/>
                <w:lang w:val="en-US" w:eastAsia="ja-JP" w:bidi="ar-SA"/>
              </w:rPr>
              <w:t>　</w:t>
            </w:r>
            <w:r>
              <w:rPr>
                <w:rFonts w:ascii="Aptos" w:hAnsi="Aptos" w:cs="" w:hint="eastAsia"/>
                <w:b/>
                <w:bCs/>
                <w:i w:val="false"/>
                <w:iCs w:val="false"/>
                <w:color w:val="000000"/>
                <w:kern w:val="0"/>
                <w:sz w:val="24"/>
                <w:szCs w:val="24"/>
                <w:lang w:val="en-US" w:eastAsia="ja-JP" w:bidi="ar-SA"/>
              </w:rPr>
              <w:t>完全市内の主要候補</w:t>
            </w:r>
            <w:r>
              <w:rPr>
                <w:rFonts w:eastAsia="" w:cs="" w:hint="eastAsia"/>
                <w:b/>
                <w:bCs/>
                <w:i w:val="false"/>
                <w:iCs w:val="false"/>
                <w:color w:val="000000"/>
                <w:kern w:val="0"/>
                <w:sz w:val="24"/>
                <w:szCs w:val="24"/>
                <w:lang w:val="en-US" w:eastAsia="ja-JP" w:bidi="ar-SA"/>
              </w:rPr>
              <w:t>4</w:t>
            </w:r>
            <w:r>
              <w:rPr>
                <w:rFonts w:ascii="Aptos" w:hAnsi="Aptos" w:cs="" w:hint="eastAsia"/>
                <w:b/>
                <w:bCs/>
                <w:i w:val="false"/>
                <w:iCs w:val="false"/>
                <w:color w:val="000000"/>
                <w:kern w:val="0"/>
                <w:sz w:val="24"/>
                <w:szCs w:val="24"/>
                <w:lang w:val="en-US" w:eastAsia="ja-JP" w:bidi="ar-SA"/>
              </w:rPr>
              <w:t>件の人口と最寄駅距離</w:t>
            </w:r>
          </w:p>
          <w:tbl>
            <w:tblPr>
              <w:tblStyle w:val="Table"/>
              <w:tblW w:w="9000" w:type="dxa"/>
              <w:jc w:val="left"/>
              <w:tblInd w:w="-90" w:type="dxa"/>
              <w:tblLayout w:type="fixed"/>
              <w:tblCellMar>
                <w:top w:w="0" w:type="dxa"/>
                <w:left w:w="108" w:type="dxa"/>
                <w:bottom w:w="0" w:type="dxa"/>
                <w:right w:w="108" w:type="dxa"/>
              </w:tblCellMar>
              <w:tblLook w:noHBand="0" w:lastColumn="0" w:firstColumn="0" w:lastRow="0" w:firstRow="1" w:noVBand="0" w:val="0020"/>
            </w:tblPr>
            <w:tblGrid>
              <w:gridCol w:w="1586"/>
              <w:gridCol w:w="2644"/>
              <w:gridCol w:w="2430"/>
              <w:gridCol w:w="2340"/>
            </w:tblGrid>
            <w:tr>
              <w:trPr>
                <w:tblHeader w:val="true"/>
              </w:trPr>
              <w:tc>
                <w:tcPr>
                  <w:tcW w:w="1586" w:type="dxa"/>
                  <w:tcBorders>
                    <w:bottom w:val="single" w:sz="6" w:space="0" w:color="000000"/>
                  </w:tcBorders>
                  <w:vAlign w:val="bottom"/>
                </w:tcPr>
                <w:p>
                  <w:pPr>
                    <w:pStyle w:val="Compact"/>
                    <w:widowControl/>
                    <w:spacing w:before="36" w:after="36"/>
                    <w:jc w:val="center"/>
                    <w:rPr>
                      <w:rFonts w:ascii="Aptos" w:hAnsi="Aptos" w:eastAsia="" w:cs=""/>
                      <w:color w:val="000000"/>
                      <w:kern w:val="0"/>
                      <w:sz w:val="22"/>
                      <w:szCs w:val="22"/>
                      <w:lang w:val="en-US" w:eastAsia="ja-JP" w:bidi="ar-SA"/>
                    </w:rPr>
                  </w:pPr>
                  <w:r>
                    <w:rPr>
                      <w:rFonts w:ascii="Aptos" w:hAnsi="Aptos" w:cs="" w:hint="eastAsia"/>
                      <w:color w:val="000000"/>
                      <w:kern w:val="0"/>
                      <w:sz w:val="22"/>
                      <w:szCs w:val="22"/>
                      <w:lang w:val="en-US" w:eastAsia="ja-JP" w:bidi="ar-SA"/>
                    </w:rPr>
                    <w:t>候補</w:t>
                  </w:r>
                </w:p>
              </w:tc>
              <w:tc>
                <w:tcPr>
                  <w:tcW w:w="2644" w:type="dxa"/>
                  <w:tcBorders>
                    <w:bottom w:val="single" w:sz="6" w:space="0" w:color="000000"/>
                  </w:tcBorders>
                  <w:vAlign w:val="bottom"/>
                </w:tcPr>
                <w:p>
                  <w:pPr>
                    <w:pStyle w:val="Compact"/>
                    <w:widowControl/>
                    <w:spacing w:before="36" w:after="36"/>
                    <w:jc w:val="center"/>
                    <w:rPr>
                      <w:rFonts w:ascii="Aptos" w:hAnsi="Aptos" w:eastAsia="" w:cs=""/>
                      <w:color w:val="000000"/>
                      <w:kern w:val="0"/>
                      <w:sz w:val="22"/>
                      <w:szCs w:val="22"/>
                      <w:lang w:val="en-US" w:eastAsia="ja-JP" w:bidi="ar-SA"/>
                    </w:rPr>
                  </w:pPr>
                  <w:r>
                    <w:rPr>
                      <w:rFonts w:ascii="Aptos" w:hAnsi="Aptos" w:cs="" w:hint="eastAsia"/>
                      <w:color w:val="000000"/>
                      <w:kern w:val="0"/>
                      <w:sz w:val="22"/>
                      <w:szCs w:val="22"/>
                      <w:lang w:val="en-US" w:eastAsia="ja-JP" w:bidi="ar-SA"/>
                    </w:rPr>
                    <w:t>居住人口（人）</w:t>
                  </w:r>
                </w:p>
              </w:tc>
              <w:tc>
                <w:tcPr>
                  <w:tcW w:w="2430" w:type="dxa"/>
                  <w:tcBorders>
                    <w:bottom w:val="single" w:sz="6" w:space="0" w:color="000000"/>
                  </w:tcBorders>
                  <w:vAlign w:val="bottom"/>
                </w:tcPr>
                <w:p>
                  <w:pPr>
                    <w:pStyle w:val="Compact"/>
                    <w:widowControl/>
                    <w:spacing w:before="36" w:after="36"/>
                    <w:jc w:val="center"/>
                    <w:rPr>
                      <w:rFonts w:ascii="Aptos" w:hAnsi="Aptos" w:eastAsia="" w:cs=""/>
                      <w:color w:val="000000"/>
                      <w:kern w:val="0"/>
                      <w:sz w:val="22"/>
                      <w:szCs w:val="22"/>
                      <w:lang w:val="en-US" w:eastAsia="ja-JP" w:bidi="ar-SA"/>
                    </w:rPr>
                  </w:pPr>
                  <w:r>
                    <w:rPr>
                      <w:rFonts w:ascii="Aptos" w:hAnsi="Aptos" w:cs="" w:hint="eastAsia"/>
                      <w:color w:val="000000"/>
                      <w:kern w:val="0"/>
                      <w:sz w:val="22"/>
                      <w:szCs w:val="22"/>
                      <w:lang w:val="en-US" w:eastAsia="ja-JP" w:bidi="ar-SA"/>
                    </w:rPr>
                    <w:t>駅への直線距離（</w:t>
                  </w:r>
                  <w:r>
                    <w:rPr>
                      <w:rFonts w:eastAsia="" w:cs="" w:hint="eastAsia"/>
                      <w:color w:val="000000"/>
                      <w:kern w:val="0"/>
                      <w:sz w:val="22"/>
                      <w:szCs w:val="22"/>
                      <w:lang w:val="en-US" w:eastAsia="ja-JP" w:bidi="ar-SA"/>
                    </w:rPr>
                    <w:t>m</w:t>
                  </w:r>
                  <w:r>
                    <w:rPr>
                      <w:rFonts w:ascii="Aptos" w:hAnsi="Aptos" w:cs="" w:hint="eastAsia"/>
                      <w:color w:val="000000"/>
                      <w:kern w:val="0"/>
                      <w:sz w:val="22"/>
                      <w:szCs w:val="22"/>
                      <w:lang w:val="en-US" w:eastAsia="ja-JP" w:bidi="ar-SA"/>
                    </w:rPr>
                    <w:t>）</w:t>
                  </w:r>
                </w:p>
              </w:tc>
              <w:tc>
                <w:tcPr>
                  <w:tcW w:w="2340" w:type="dxa"/>
                  <w:tcBorders>
                    <w:bottom w:val="single" w:sz="6" w:space="0" w:color="000000"/>
                  </w:tcBorders>
                  <w:vAlign w:val="bottom"/>
                </w:tcPr>
                <w:p>
                  <w:pPr>
                    <w:pStyle w:val="Compact"/>
                    <w:widowControl/>
                    <w:spacing w:before="36" w:after="36"/>
                    <w:jc w:val="center"/>
                    <w:rPr>
                      <w:rFonts w:ascii="Aptos" w:hAnsi="Aptos" w:eastAsia="" w:cs=""/>
                      <w:color w:val="000000"/>
                      <w:kern w:val="0"/>
                      <w:sz w:val="22"/>
                      <w:szCs w:val="22"/>
                      <w:lang w:val="en-US" w:eastAsia="ja-JP" w:bidi="ar-SA"/>
                    </w:rPr>
                  </w:pPr>
                  <w:r>
                    <w:rPr>
                      <w:rFonts w:ascii="Aptos" w:hAnsi="Aptos" w:cs="" w:hint="eastAsia"/>
                      <w:color w:val="000000"/>
                      <w:kern w:val="0"/>
                      <w:sz w:val="22"/>
                      <w:szCs w:val="22"/>
                      <w:lang w:val="en-US" w:eastAsia="ja-JP" w:bidi="ar-SA"/>
                    </w:rPr>
                    <w:t>最寄駅</w:t>
                  </w:r>
                </w:p>
              </w:tc>
            </w:tr>
            <w:tr>
              <w:trPr/>
              <w:tc>
                <w:tcPr>
                  <w:tcW w:w="1586"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A</w:t>
                  </w:r>
                </w:p>
              </w:tc>
              <w:tc>
                <w:tcPr>
                  <w:tcW w:w="2644"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6,853</w:t>
                  </w:r>
                </w:p>
              </w:tc>
              <w:tc>
                <w:tcPr>
                  <w:tcW w:w="243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968</w:t>
                  </w:r>
                </w:p>
              </w:tc>
              <w:tc>
                <w:tcPr>
                  <w:tcW w:w="234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ascii="Aptos" w:hAnsi="Aptos" w:cs=""/>
                      <w:color w:val="000000"/>
                      <w:kern w:val="0"/>
                      <w:sz w:val="24"/>
                      <w:szCs w:val="24"/>
                      <w:lang w:val="en-US" w:eastAsia="ja-JP" w:bidi="ar-SA"/>
                    </w:rPr>
                    <w:t>三鷹</w:t>
                  </w:r>
                </w:p>
              </w:tc>
            </w:tr>
            <w:tr>
              <w:trPr/>
              <w:tc>
                <w:tcPr>
                  <w:tcW w:w="1586"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B</w:t>
                  </w:r>
                </w:p>
              </w:tc>
              <w:tc>
                <w:tcPr>
                  <w:tcW w:w="2644"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6,535</w:t>
                  </w:r>
                </w:p>
              </w:tc>
              <w:tc>
                <w:tcPr>
                  <w:tcW w:w="243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86</w:t>
                  </w:r>
                  <w:r>
                    <w:rPr>
                      <w:rFonts w:eastAsia="" w:cs=""/>
                      <w:color w:val="000000"/>
                      <w:kern w:val="0"/>
                      <w:sz w:val="24"/>
                      <w:szCs w:val="24"/>
                      <w:lang w:val="en-US" w:eastAsia="ja-JP" w:bidi="ar-SA"/>
                    </w:rPr>
                    <w:t>5</w:t>
                  </w:r>
                </w:p>
              </w:tc>
              <w:tc>
                <w:tcPr>
                  <w:tcW w:w="234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ascii="Aptos" w:hAnsi="Aptos" w:cs=""/>
                      <w:color w:val="000000"/>
                      <w:kern w:val="0"/>
                      <w:sz w:val="24"/>
                      <w:szCs w:val="24"/>
                      <w:lang w:val="en-US" w:eastAsia="ja-JP" w:bidi="ar-SA"/>
                    </w:rPr>
                    <w:t>三鷹</w:t>
                  </w:r>
                </w:p>
              </w:tc>
            </w:tr>
            <w:tr>
              <w:trPr/>
              <w:tc>
                <w:tcPr>
                  <w:tcW w:w="1586"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C</w:t>
                  </w:r>
                </w:p>
              </w:tc>
              <w:tc>
                <w:tcPr>
                  <w:tcW w:w="2644"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4,714</w:t>
                  </w:r>
                </w:p>
              </w:tc>
              <w:tc>
                <w:tcPr>
                  <w:tcW w:w="243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1,394</w:t>
                  </w:r>
                </w:p>
              </w:tc>
              <w:tc>
                <w:tcPr>
                  <w:tcW w:w="234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ascii="Aptos" w:hAnsi="Aptos" w:cs=""/>
                      <w:color w:val="000000"/>
                      <w:kern w:val="0"/>
                      <w:sz w:val="24"/>
                      <w:szCs w:val="24"/>
                      <w:lang w:val="en-US" w:eastAsia="ja-JP" w:bidi="ar-SA"/>
                    </w:rPr>
                    <w:t>三鷹</w:t>
                  </w:r>
                </w:p>
              </w:tc>
            </w:tr>
            <w:tr>
              <w:trPr/>
              <w:tc>
                <w:tcPr>
                  <w:tcW w:w="1586"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D</w:t>
                  </w:r>
                </w:p>
              </w:tc>
              <w:tc>
                <w:tcPr>
                  <w:tcW w:w="2644"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4,500</w:t>
                  </w:r>
                </w:p>
              </w:tc>
              <w:tc>
                <w:tcPr>
                  <w:tcW w:w="2430"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1,324</w:t>
                  </w:r>
                </w:p>
              </w:tc>
              <w:tc>
                <w:tcPr>
                  <w:tcW w:w="2340" w:type="dxa"/>
                  <w:tcBorders/>
                </w:tcPr>
                <w:p>
                  <w:pPr>
                    <w:pStyle w:val="Compact"/>
                    <w:widowControl/>
                    <w:spacing w:before="36" w:after="36"/>
                    <w:jc w:val="center"/>
                    <w:rPr>
                      <w:rFonts w:ascii="Aptos" w:hAnsi="Aptos" w:eastAsia="" w:cs=""/>
                      <w:color w:val="000000"/>
                      <w:kern w:val="0"/>
                      <w:sz w:val="24"/>
                      <w:szCs w:val="24"/>
                      <w:lang w:val="en-US" w:eastAsia="ja-JP" w:bidi="ar-SA"/>
                    </w:rPr>
                  </w:pPr>
                  <w:bookmarkStart w:id="3" w:name="tbl-2"/>
                  <w:bookmarkEnd w:id="3"/>
                  <w:r>
                    <w:rPr>
                      <w:rFonts w:ascii="Aptos" w:hAnsi="Aptos" w:cs=""/>
                      <w:color w:val="000000"/>
                      <w:kern w:val="0"/>
                      <w:sz w:val="24"/>
                      <w:szCs w:val="24"/>
                      <w:lang w:val="en-US" w:eastAsia="ja-JP" w:bidi="ar-SA"/>
                    </w:rPr>
                    <w:t>三鷹</w:t>
                  </w:r>
                </w:p>
              </w:tc>
            </w:tr>
          </w:tbl>
          <w:p>
            <w:pPr>
              <w:pStyle w:val="Normal"/>
              <w:widowControl/>
              <w:spacing w:before="0" w:after="200"/>
              <w:jc w:val="left"/>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r>
          </w:p>
        </w:tc>
      </w:tr>
    </w:tbl>
    <w:p>
      <w:pPr>
        <w:pStyle w:val="Normal"/>
        <w:rPr>
          <w:color w:val="000000"/>
        </w:rPr>
      </w:pPr>
      <w:r>
        <w:rPr>
          <w:color w:val="000000"/>
        </w:rPr>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0" w:noVBand="0" w:val="0000"/>
      </w:tblPr>
      <w:tblGrid>
        <w:gridCol w:w="9026"/>
      </w:tblGrid>
      <w:tr>
        <w:trPr/>
        <w:tc>
          <w:tcPr>
            <w:tcW w:w="9026" w:type="dxa"/>
            <w:tcBorders/>
          </w:tcPr>
          <w:p>
            <w:pPr>
              <w:pStyle w:val="Compact"/>
              <w:widowControl/>
              <w:spacing w:before="36" w:after="36"/>
              <w:jc w:val="center"/>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066030" cy="35845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066030" cy="3584575"/>
                          </a:xfrm>
                          <a:prstGeom prst="rect">
                            <a:avLst/>
                          </a:prstGeom>
                          <a:noFill/>
                        </pic:spPr>
                      </pic:pic>
                    </a:graphicData>
                  </a:graphic>
                </wp:anchor>
              </w:drawing>
            </w:r>
            <w:bookmarkStart w:id="4" w:name="fig-1"/>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hint="eastAsia"/>
                <w:b/>
                <w:bCs/>
                <w:i w:val="false"/>
                <w:iCs w:val="false"/>
                <w:color w:val="000000"/>
                <w:kern w:val="0"/>
                <w:sz w:val="24"/>
                <w:szCs w:val="24"/>
                <w:lang w:val="en-US" w:eastAsia="ja-JP" w:bidi="ar-SA"/>
              </w:rPr>
            </w:pPr>
            <w:r>
              <w:rPr>
                <w:rFonts w:eastAsia="" w:cs="" w:hint="eastAsia"/>
                <w:b/>
                <w:bCs/>
                <w:i w:val="false"/>
                <w:iCs w:val="false"/>
                <w:color w:val="000000"/>
                <w:kern w:val="0"/>
                <w:sz w:val="24"/>
                <w:szCs w:val="24"/>
                <w:lang w:val="en-US" w:eastAsia="ja-JP" w:bidi="ar-SA"/>
              </w:rPr>
            </w:r>
          </w:p>
          <w:p>
            <w:pPr>
              <w:pStyle w:val="ImageCaption"/>
              <w:widowControl/>
              <w:spacing w:before="200" w:after="120"/>
              <w:jc w:val="center"/>
              <w:rPr>
                <w:rFonts w:ascii="Aptos" w:hAnsi="Aptos" w:eastAsia="" w:cs=""/>
                <w:b/>
                <w:bCs/>
                <w:i w:val="false"/>
                <w:iCs w:val="false"/>
                <w:color w:val="000000"/>
                <w:kern w:val="0"/>
                <w:sz w:val="24"/>
                <w:szCs w:val="24"/>
                <w:lang w:val="en-US" w:eastAsia="ja-JP" w:bidi="ar-SA"/>
              </w:rPr>
            </w:pPr>
            <w:r>
              <w:rPr>
                <w:rFonts w:ascii="Aptos" w:hAnsi="Aptos" w:cs="" w:hint="eastAsia"/>
                <w:b/>
                <w:bCs/>
                <w:i w:val="false"/>
                <w:iCs w:val="false"/>
                <w:color w:val="000000"/>
                <w:kern w:val="0"/>
                <w:sz w:val="24"/>
                <w:szCs w:val="24"/>
                <w:lang w:val="en-US" w:eastAsia="ja-JP" w:bidi="ar-SA"/>
              </w:rPr>
              <w:t>図</w:t>
            </w:r>
            <w:r>
              <w:rPr>
                <w:rFonts w:eastAsia="" w:cs=""/>
                <w:b/>
                <w:bCs/>
                <w:i w:val="false"/>
                <w:iCs w:val="false"/>
                <w:color w:val="000000"/>
                <w:kern w:val="0"/>
                <w:sz w:val="24"/>
                <w:szCs w:val="24"/>
                <w:lang w:val="en-US" w:eastAsia="ja-JP" w:bidi="ar-SA"/>
              </w:rPr>
              <w:t>1</w:t>
            </w:r>
            <w:r>
              <w:rPr>
                <w:rFonts w:ascii="Aptos" w:hAnsi="Aptos" w:cs=""/>
                <w:b/>
                <w:bCs/>
                <w:i w:val="false"/>
                <w:iCs w:val="false"/>
                <w:color w:val="000000"/>
                <w:kern w:val="0"/>
                <w:sz w:val="24"/>
                <w:szCs w:val="24"/>
                <w:lang w:val="en-US" w:eastAsia="ja-JP" w:bidi="ar-SA"/>
              </w:rPr>
              <w:t>　</w:t>
            </w:r>
            <w:r>
              <w:rPr>
                <w:rFonts w:ascii="Aptos" w:hAnsi="Aptos" w:cs="" w:hint="eastAsia"/>
                <w:b/>
                <w:bCs/>
                <w:i w:val="false"/>
                <w:iCs w:val="false"/>
                <w:color w:val="000000"/>
                <w:kern w:val="0"/>
                <w:sz w:val="24"/>
                <w:szCs w:val="24"/>
                <w:lang w:val="en-US" w:eastAsia="ja-JP" w:bidi="ar-SA"/>
              </w:rPr>
              <w:t>武蔵野市の</w:t>
            </w:r>
            <w:r>
              <w:rPr>
                <w:rFonts w:eastAsia="" w:cs="" w:hint="eastAsia"/>
                <w:b/>
                <w:bCs/>
                <w:i w:val="false"/>
                <w:iCs w:val="false"/>
                <w:color w:val="000000"/>
                <w:kern w:val="0"/>
                <w:sz w:val="24"/>
                <w:szCs w:val="24"/>
                <w:lang w:val="en-US" w:eastAsia="ja-JP" w:bidi="ar-SA"/>
              </w:rPr>
              <w:t>500m</w:t>
            </w:r>
            <w:r>
              <w:rPr>
                <w:rFonts w:ascii="Aptos" w:hAnsi="Aptos" w:cs="" w:hint="eastAsia"/>
                <w:b/>
                <w:bCs/>
                <w:i w:val="false"/>
                <w:iCs w:val="false"/>
                <w:color w:val="000000"/>
                <w:kern w:val="0"/>
                <w:sz w:val="24"/>
                <w:szCs w:val="24"/>
                <w:lang w:val="en-US" w:eastAsia="ja-JP" w:bidi="ar-SA"/>
              </w:rPr>
              <w:t>メッシュにおける</w:t>
            </w:r>
            <w:r>
              <w:rPr>
                <w:rFonts w:ascii="Aptos" w:hAnsi="Aptos" w:cs="" w:hint="eastAsia"/>
                <w:b/>
                <w:bCs/>
                <w:i w:val="false"/>
                <w:iCs w:val="false"/>
                <w:color w:val="000000"/>
                <w:kern w:val="0"/>
                <w:sz w:val="24"/>
                <w:szCs w:val="24"/>
                <w:lang w:val="en-US" w:eastAsia="ja-JP" w:bidi="ar-SA"/>
              </w:rPr>
              <w:t>居住人口の分布と鉄道駅</w:t>
            </w:r>
            <w:r>
              <w:rPr>
                <w:rFonts w:eastAsia="" w:cs="" w:hint="eastAsia"/>
                <w:b/>
                <w:bCs/>
                <w:i w:val="false"/>
                <w:iCs w:val="false"/>
                <w:color w:val="000000"/>
                <w:kern w:val="0"/>
                <w:sz w:val="24"/>
                <w:szCs w:val="24"/>
                <w:lang w:val="en-US" w:eastAsia="ja-JP" w:bidi="ar-SA"/>
              </w:rPr>
              <w:t>800m</w:t>
            </w:r>
            <w:r>
              <w:rPr>
                <w:rFonts w:ascii="Aptos" w:hAnsi="Aptos" w:cs="" w:hint="eastAsia"/>
                <w:b/>
                <w:bCs/>
                <w:i w:val="false"/>
                <w:iCs w:val="false"/>
                <w:color w:val="000000"/>
                <w:kern w:val="0"/>
                <w:sz w:val="24"/>
                <w:szCs w:val="24"/>
                <w:lang w:val="en-US" w:eastAsia="ja-JP" w:bidi="ar-SA"/>
              </w:rPr>
              <w:t>圏</w:t>
            </w:r>
            <w:bookmarkEnd w:id="4"/>
          </w:p>
        </w:tc>
      </w:tr>
    </w:tbl>
    <w:p>
      <w:pPr>
        <w:pStyle w:val="BodyText"/>
        <w:rPr>
          <w:color w:val="000000"/>
        </w:rPr>
      </w:pPr>
      <w:r>
        <w:rPr>
          <w:color w:val="000000"/>
        </w:rPr>
        <w:t>　</w:t>
      </w:r>
    </w:p>
    <w:p>
      <w:pPr>
        <w:pStyle w:val="BodyText"/>
        <w:rPr/>
      </w:pPr>
      <w:r>
        <w:rPr>
          <w:rStyle w:val="Hyperlink"/>
          <w:rFonts w:hint="eastAsia"/>
          <w:color w:val="000000"/>
        </w:rPr>
        <w:t>　</w:t>
      </w:r>
      <w:hyperlink w:anchor="fig-2">
        <w:r>
          <w:rPr>
            <w:rStyle w:val="Hyperlink"/>
            <w:rFonts w:hint="eastAsia"/>
            <w:color w:val="000000"/>
          </w:rPr>
          <w:t>図</w:t>
        </w:r>
      </w:hyperlink>
      <w:r>
        <w:rPr>
          <w:rStyle w:val="Hyperlink"/>
          <w:rFonts w:hint="eastAsia"/>
          <w:color w:val="000000"/>
        </w:rPr>
        <w:t>2</w:t>
      </w:r>
      <w:r>
        <w:rPr>
          <w:rFonts w:hint="eastAsia"/>
          <w:color w:val="000000"/>
        </w:rPr>
        <w:t>には武蔵野市の</w:t>
      </w:r>
      <w:r>
        <w:rPr>
          <w:rFonts w:hint="eastAsia"/>
          <w:color w:val="000000"/>
        </w:rPr>
        <w:t>100m</w:t>
      </w:r>
      <w:r>
        <w:rPr>
          <w:rFonts w:hint="eastAsia"/>
          <w:color w:val="000000"/>
        </w:rPr>
        <w:t>メッシュの</w:t>
      </w:r>
      <w:r>
        <w:rPr>
          <w:rFonts w:hint="eastAsia"/>
          <w:color w:val="000000"/>
        </w:rPr>
        <w:t>土地利用分類を表したマップを示す。図</w:t>
      </w:r>
      <w:r>
        <w:rPr>
          <w:rFonts w:hint="eastAsia"/>
          <w:color w:val="000000"/>
        </w:rPr>
        <w:t>1</w:t>
      </w:r>
      <w:r>
        <w:rPr>
          <w:rFonts w:hint="eastAsia"/>
          <w:color w:val="000000"/>
        </w:rPr>
        <w:t>で示した</w:t>
      </w:r>
      <w:r>
        <w:rPr>
          <w:rFonts w:hint="eastAsia"/>
          <w:color w:val="000000"/>
        </w:rPr>
        <w:t>500m</w:t>
      </w:r>
      <w:r>
        <w:rPr>
          <w:rFonts w:hint="eastAsia"/>
          <w:color w:val="000000"/>
        </w:rPr>
        <w:t>人口メッシュに対して、各土地利用分類の</w:t>
      </w:r>
      <w:r>
        <w:rPr>
          <w:rFonts w:hint="eastAsia"/>
          <w:color w:val="000000"/>
        </w:rPr>
        <w:t>100m</w:t>
      </w:r>
      <w:r>
        <w:rPr>
          <w:rFonts w:hint="eastAsia"/>
          <w:color w:val="000000"/>
        </w:rPr>
        <w:t>メッシュの占める面積を計算した結果、</w:t>
      </w:r>
      <w:r>
        <w:rPr>
          <w:rFonts w:hint="eastAsia"/>
          <w:color w:val="000000"/>
        </w:rPr>
        <w:t>駅</w:t>
      </w:r>
      <w:r>
        <w:rPr>
          <w:rFonts w:hint="eastAsia"/>
          <w:color w:val="000000"/>
        </w:rPr>
        <w:t>800m</w:t>
      </w:r>
      <w:r>
        <w:rPr>
          <w:rFonts w:hint="eastAsia"/>
          <w:color w:val="000000"/>
        </w:rPr>
        <w:t>圏外で高人口の主要候補</w:t>
      </w:r>
      <w:r>
        <w:rPr>
          <w:rFonts w:hint="eastAsia"/>
          <w:color w:val="000000"/>
        </w:rPr>
        <w:t>4</w:t>
      </w:r>
      <w:r>
        <w:rPr>
          <w:rFonts w:hint="eastAsia"/>
          <w:color w:val="000000"/>
        </w:rPr>
        <w:t>メッシュでは、建物用地割合が</w:t>
      </w:r>
      <w:r>
        <w:rPr>
          <w:rFonts w:hint="eastAsia"/>
          <w:color w:val="000000"/>
        </w:rPr>
        <w:t>88</w:t>
      </w:r>
      <w:r>
        <w:rPr>
          <w:rFonts w:hint="eastAsia"/>
          <w:color w:val="000000"/>
        </w:rPr>
        <w:t>～</w:t>
      </w:r>
      <w:r>
        <w:rPr>
          <w:rFonts w:hint="eastAsia"/>
          <w:color w:val="000000"/>
        </w:rPr>
        <w:t>100%</w:t>
      </w:r>
      <w:r>
        <w:rPr>
          <w:rFonts w:hint="eastAsia"/>
          <w:color w:val="000000"/>
        </w:rPr>
        <w:t>（平均</w:t>
      </w:r>
      <w:r>
        <w:rPr>
          <w:rFonts w:hint="eastAsia"/>
          <w:color w:val="000000"/>
        </w:rPr>
        <w:t>93%</w:t>
      </w:r>
      <w:r>
        <w:rPr>
          <w:rFonts w:hint="eastAsia"/>
          <w:color w:val="000000"/>
        </w:rPr>
        <w:t>）であった。その他の完全市内メッシュ</w:t>
      </w:r>
      <w:r>
        <w:rPr>
          <w:rFonts w:hint="eastAsia"/>
          <w:color w:val="000000"/>
        </w:rPr>
        <w:t>17</w:t>
      </w:r>
      <w:r>
        <w:rPr>
          <w:rFonts w:hint="eastAsia"/>
          <w:color w:val="000000"/>
        </w:rPr>
        <w:t>件の平均は</w:t>
      </w:r>
      <w:r>
        <w:rPr>
          <w:rFonts w:hint="eastAsia"/>
          <w:color w:val="000000"/>
        </w:rPr>
        <w:t>82%</w:t>
      </w:r>
      <w:r>
        <w:rPr>
          <w:rFonts w:hint="eastAsia"/>
          <w:color w:val="000000"/>
        </w:rPr>
        <w:t>であり、高人口の候補エリアは建物用地の多い市街地であることが確認できた。ただし、建物用地は住宅と商業・業務を区別していないため、この結果だけで高人口の要因や居住者の交通利便性は説明できない。</w:t>
      </w:r>
    </w:p>
    <w:p>
      <w:pPr>
        <w:pStyle w:val="BodyText"/>
        <w:rPr>
          <w:rFonts w:hint="eastAsia"/>
          <w:color w:val="000000"/>
        </w:rPr>
      </w:pPr>
      <w:r>
        <w:rPr>
          <w:rFonts w:hint="eastAsia"/>
          <w:color w:val="000000"/>
        </w:rPr>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0" w:noVBand="0" w:val="0000"/>
      </w:tblPr>
      <w:tblGrid>
        <w:gridCol w:w="9026"/>
      </w:tblGrid>
      <w:tr>
        <w:trPr/>
        <w:tc>
          <w:tcPr>
            <w:tcW w:w="9026" w:type="dxa"/>
            <w:tcBorders/>
          </w:tcPr>
          <w:p>
            <w:pPr>
              <w:pStyle w:val="ImageCaption"/>
              <w:widowControl/>
              <w:spacing w:before="200" w:after="120"/>
              <w:jc w:val="center"/>
              <w:rPr>
                <w:rFonts w:ascii="Aptos" w:hAnsi="Aptos" w:eastAsia="" w:cs=""/>
                <w:color w:val="000000"/>
                <w:kern w:val="0"/>
                <w:sz w:val="24"/>
                <w:szCs w:val="24"/>
                <w:lang w:val="en-US" w:eastAsia="ja-JP" w:bidi="ar-SA"/>
              </w:rPr>
            </w:pPr>
            <w:bookmarkStart w:id="5" w:name="fig-2"/>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594350" cy="39560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94350" cy="3956050"/>
                          </a:xfrm>
                          <a:prstGeom prst="rect">
                            <a:avLst/>
                          </a:prstGeom>
                          <a:noFill/>
                        </pic:spPr>
                      </pic:pic>
                    </a:graphicData>
                  </a:graphic>
                </wp:anchor>
              </w:drawing>
            </w:r>
            <w:r>
              <w:rPr>
                <w:rFonts w:ascii="Aptos" w:hAnsi="Aptos" w:cs="" w:hint="eastAsia"/>
                <w:b/>
                <w:bCs/>
                <w:i w:val="false"/>
                <w:iCs w:val="false"/>
                <w:color w:val="000000"/>
                <w:kern w:val="0"/>
                <w:sz w:val="24"/>
                <w:szCs w:val="24"/>
                <w:lang w:val="en-US" w:eastAsia="ja-JP" w:bidi="ar-SA"/>
              </w:rPr>
              <w:t>図</w:t>
            </w:r>
            <w:r>
              <w:rPr>
                <w:rFonts w:eastAsia="" w:cs=""/>
                <w:b/>
                <w:bCs/>
                <w:i w:val="false"/>
                <w:iCs w:val="false"/>
                <w:color w:val="000000"/>
                <w:kern w:val="0"/>
                <w:sz w:val="24"/>
                <w:szCs w:val="24"/>
                <w:lang w:val="en-US" w:eastAsia="ja-JP" w:bidi="ar-SA"/>
              </w:rPr>
              <w:t>2</w:t>
            </w:r>
            <w:r>
              <w:rPr>
                <w:rFonts w:ascii="Aptos" w:hAnsi="Aptos" w:cs=""/>
                <w:b/>
                <w:bCs/>
                <w:i w:val="false"/>
                <w:iCs w:val="false"/>
                <w:color w:val="000000"/>
                <w:kern w:val="0"/>
                <w:sz w:val="24"/>
                <w:szCs w:val="24"/>
                <w:lang w:val="en-US" w:eastAsia="ja-JP" w:bidi="ar-SA"/>
              </w:rPr>
              <w:t>　市内</w:t>
            </w:r>
            <w:r>
              <w:rPr>
                <w:rFonts w:eastAsia="" w:cs=""/>
                <w:b/>
                <w:bCs/>
                <w:i w:val="false"/>
                <w:iCs w:val="false"/>
                <w:color w:val="000000"/>
                <w:kern w:val="0"/>
                <w:sz w:val="24"/>
                <w:szCs w:val="24"/>
                <w:lang w:val="en-US" w:eastAsia="ja-JP" w:bidi="ar-SA"/>
              </w:rPr>
              <w:t>100m</w:t>
            </w:r>
            <w:r>
              <w:rPr>
                <w:rFonts w:ascii="Aptos" w:hAnsi="Aptos" w:cs=""/>
                <w:b/>
                <w:bCs/>
                <w:i w:val="false"/>
                <w:iCs w:val="false"/>
                <w:color w:val="000000"/>
                <w:kern w:val="0"/>
                <w:sz w:val="24"/>
                <w:szCs w:val="24"/>
                <w:lang w:val="en-US" w:eastAsia="ja-JP" w:bidi="ar-SA"/>
              </w:rPr>
              <w:t>メッシュの</w:t>
            </w:r>
            <w:r>
              <w:rPr>
                <w:rFonts w:ascii="Aptos" w:hAnsi="Aptos" w:cs="" w:hint="eastAsia"/>
                <w:b/>
                <w:bCs/>
                <w:i w:val="false"/>
                <w:iCs w:val="false"/>
                <w:color w:val="000000"/>
                <w:kern w:val="0"/>
                <w:sz w:val="24"/>
                <w:szCs w:val="24"/>
                <w:lang w:val="en-US" w:eastAsia="ja-JP" w:bidi="ar-SA"/>
              </w:rPr>
              <w:t>土地利用分類</w:t>
            </w:r>
            <w:bookmarkEnd w:id="5"/>
            <w:r>
              <w:rPr>
                <w:rFonts w:ascii="Aptos" w:hAnsi="Aptos" w:cs="" w:hint="eastAsia"/>
                <w:b/>
                <w:bCs/>
                <w:i w:val="false"/>
                <w:iCs w:val="false"/>
                <w:color w:val="000000"/>
                <w:kern w:val="0"/>
                <w:sz w:val="24"/>
                <w:szCs w:val="24"/>
                <w:lang w:val="en-US" w:eastAsia="ja-JP" w:bidi="ar-SA"/>
              </w:rPr>
              <w:t>と</w:t>
            </w:r>
            <w:r>
              <w:rPr>
                <w:rFonts w:ascii="Aptos" w:hAnsi="Aptos" w:cs="" w:hint="eastAsia"/>
                <w:b/>
                <w:bCs/>
                <w:i w:val="false"/>
                <w:iCs w:val="false"/>
                <w:color w:val="000000"/>
                <w:kern w:val="0"/>
                <w:sz w:val="24"/>
                <w:szCs w:val="24"/>
                <w:lang w:val="en-US" w:eastAsia="ja-JP" w:bidi="ar-SA"/>
              </w:rPr>
              <w:t>駅</w:t>
            </w:r>
            <w:r>
              <w:rPr>
                <w:rFonts w:eastAsia="" w:cs="" w:hint="eastAsia"/>
                <w:b/>
                <w:bCs/>
                <w:i w:val="false"/>
                <w:iCs w:val="false"/>
                <w:color w:val="000000"/>
                <w:kern w:val="0"/>
                <w:sz w:val="24"/>
                <w:szCs w:val="24"/>
                <w:lang w:val="en-US" w:eastAsia="ja-JP" w:bidi="ar-SA"/>
              </w:rPr>
              <w:t>800m</w:t>
            </w:r>
            <w:r>
              <w:rPr>
                <w:rFonts w:ascii="Aptos" w:hAnsi="Aptos" w:cs="" w:hint="eastAsia"/>
                <w:b/>
                <w:bCs/>
                <w:i w:val="false"/>
                <w:iCs w:val="false"/>
                <w:color w:val="000000"/>
                <w:kern w:val="0"/>
                <w:sz w:val="24"/>
                <w:szCs w:val="24"/>
                <w:lang w:val="en-US" w:eastAsia="ja-JP" w:bidi="ar-SA"/>
              </w:rPr>
              <w:t>圏外の高人口エリア</w:t>
            </w:r>
          </w:p>
        </w:tc>
      </w:tr>
    </w:tbl>
    <w:p>
      <w:pPr>
        <w:pStyle w:val="BodyText"/>
        <w:rPr>
          <w:color w:val="000000"/>
        </w:rPr>
      </w:pPr>
      <w:r>
        <w:rPr>
          <w:color w:val="000000"/>
        </w:rPr>
        <w:t>　</w:t>
      </w:r>
    </w:p>
    <w:p>
      <w:pPr>
        <w:pStyle w:val="BodyText"/>
        <w:rPr/>
      </w:pPr>
      <w:r>
        <w:rPr>
          <w:rStyle w:val="Hyperlink"/>
          <w:rFonts w:hint="eastAsia"/>
          <w:color w:val="000000"/>
        </w:rPr>
        <w:t>　</w:t>
      </w:r>
      <w:hyperlink w:anchor="fig-3">
        <w:r>
          <w:rPr>
            <w:rStyle w:val="Hyperlink"/>
            <w:rFonts w:hint="eastAsia"/>
            <w:color w:val="000000"/>
          </w:rPr>
          <w:t>図</w:t>
        </w:r>
        <w:r>
          <w:rPr>
            <w:rStyle w:val="Hyperlink"/>
            <w:color w:val="000000"/>
          </w:rPr>
          <w:t>3</w:t>
        </w:r>
      </w:hyperlink>
      <w:r>
        <w:rPr>
          <w:rFonts w:hint="eastAsia"/>
          <w:color w:val="000000"/>
        </w:rPr>
        <w:t>には武蔵野市と周辺</w:t>
      </w:r>
      <w:r>
        <w:rPr>
          <w:rFonts w:hint="eastAsia"/>
          <w:color w:val="000000"/>
        </w:rPr>
        <w:t>1.5km</w:t>
      </w:r>
      <w:r>
        <w:rPr>
          <w:rFonts w:hint="eastAsia"/>
          <w:color w:val="000000"/>
        </w:rPr>
        <w:t>に交差する</w:t>
      </w:r>
      <w:r>
        <w:rPr>
          <w:rFonts w:hint="eastAsia"/>
          <w:color w:val="000000"/>
        </w:rPr>
        <w:t>1km</w:t>
      </w:r>
      <w:r>
        <w:rPr>
          <w:rFonts w:hint="eastAsia"/>
          <w:color w:val="000000"/>
        </w:rPr>
        <w:t>メッシュ内の推計滞在人口の分布を示す。</w:t>
      </w:r>
      <w:r>
        <w:rPr>
          <w:rFonts w:hint="eastAsia"/>
          <w:color w:val="000000"/>
        </w:rPr>
        <w:t>1km</w:t>
      </w:r>
      <w:r>
        <w:rPr>
          <w:rFonts w:hint="eastAsia"/>
          <w:color w:val="000000"/>
        </w:rPr>
        <w:t>メッシュにおける</w:t>
      </w:r>
      <w:r>
        <w:rPr>
          <w:rFonts w:hint="eastAsia"/>
          <w:color w:val="000000"/>
        </w:rPr>
        <w:t>2019</w:t>
      </w:r>
      <w:r>
        <w:rPr>
          <w:rFonts w:hint="eastAsia"/>
          <w:color w:val="000000"/>
        </w:rPr>
        <w:t>年</w:t>
      </w:r>
      <w:r>
        <w:rPr>
          <w:rFonts w:hint="eastAsia"/>
          <w:color w:val="000000"/>
        </w:rPr>
        <w:t>10</w:t>
      </w:r>
      <w:r>
        <w:rPr>
          <w:rFonts w:hint="eastAsia"/>
          <w:color w:val="000000"/>
        </w:rPr>
        <w:t>月の平日昼間の推計滞在人口は、武蔵野市南部の鉄道沿線、とくに駅周辺を含む</w:t>
      </w:r>
      <w:r>
        <w:rPr>
          <w:rFonts w:hint="eastAsia"/>
          <w:color w:val="000000"/>
        </w:rPr>
        <w:t>1km</w:t>
      </w:r>
      <w:r>
        <w:rPr>
          <w:rFonts w:hint="eastAsia"/>
          <w:color w:val="000000"/>
        </w:rPr>
        <w:t>メッシュで高い階級を示した。候補エリアの内、</w:t>
      </w:r>
      <w:r>
        <w:rPr>
          <w:rFonts w:hint="eastAsia"/>
          <w:color w:val="000000"/>
        </w:rPr>
        <w:t>B</w:t>
      </w:r>
      <w:r>
        <w:rPr>
          <w:rFonts w:hint="eastAsia"/>
          <w:color w:val="000000"/>
        </w:rPr>
        <w:t>・</w:t>
      </w:r>
      <w:r>
        <w:rPr>
          <w:rFonts w:hint="eastAsia"/>
          <w:color w:val="000000"/>
        </w:rPr>
        <w:t>D</w:t>
      </w:r>
      <w:r>
        <w:rPr>
          <w:rFonts w:hint="eastAsia"/>
          <w:color w:val="000000"/>
        </w:rPr>
        <w:t>を含む</w:t>
      </w:r>
      <w:r>
        <w:rPr>
          <w:rFonts w:hint="eastAsia"/>
          <w:color w:val="000000"/>
        </w:rPr>
        <w:t>1km</w:t>
      </w:r>
      <w:r>
        <w:rPr>
          <w:rFonts w:hint="eastAsia"/>
          <w:color w:val="000000"/>
        </w:rPr>
        <w:t>メッシュの推計滞在人口は</w:t>
      </w:r>
      <w:r>
        <w:rPr>
          <w:rFonts w:hint="eastAsia"/>
          <w:color w:val="000000"/>
        </w:rPr>
        <w:t>7,833</w:t>
      </w:r>
      <w:r>
        <w:rPr>
          <w:rFonts w:hint="eastAsia"/>
          <w:color w:val="000000"/>
        </w:rPr>
        <w:t>人（地図の階級</w:t>
      </w:r>
      <w:r>
        <w:rPr>
          <w:rFonts w:hint="eastAsia"/>
          <w:color w:val="000000"/>
        </w:rPr>
        <w:t>2</w:t>
      </w:r>
      <w:r>
        <w:rPr>
          <w:rFonts w:hint="eastAsia"/>
          <w:color w:val="000000"/>
        </w:rPr>
        <w:t>）、</w:t>
      </w:r>
      <w:r>
        <w:rPr>
          <w:rFonts w:hint="eastAsia"/>
          <w:color w:val="000000"/>
        </w:rPr>
        <w:t>A</w:t>
      </w:r>
      <w:r>
        <w:rPr>
          <w:rFonts w:hint="eastAsia"/>
          <w:color w:val="000000"/>
        </w:rPr>
        <w:t>・</w:t>
      </w:r>
      <w:r>
        <w:rPr>
          <w:rFonts w:hint="eastAsia"/>
          <w:color w:val="000000"/>
        </w:rPr>
        <w:t>C</w:t>
      </w:r>
      <w:r>
        <w:rPr>
          <w:rFonts w:hint="eastAsia"/>
          <w:color w:val="000000"/>
        </w:rPr>
        <w:t>を含む</w:t>
      </w:r>
      <w:r>
        <w:rPr>
          <w:rFonts w:hint="eastAsia"/>
          <w:color w:val="000000"/>
        </w:rPr>
        <w:t>1km</w:t>
      </w:r>
      <w:r>
        <w:rPr>
          <w:rFonts w:hint="eastAsia"/>
          <w:color w:val="000000"/>
        </w:rPr>
        <w:t>メッシュは</w:t>
      </w:r>
      <w:r>
        <w:rPr>
          <w:rFonts w:hint="eastAsia"/>
          <w:color w:val="000000"/>
        </w:rPr>
        <w:t>11,155</w:t>
      </w:r>
      <w:r>
        <w:rPr>
          <w:rFonts w:hint="eastAsia"/>
          <w:color w:val="000000"/>
        </w:rPr>
        <w:t>人（階級</w:t>
      </w:r>
      <w:r>
        <w:rPr>
          <w:rFonts w:hint="eastAsia"/>
          <w:color w:val="000000"/>
        </w:rPr>
        <w:t>3</w:t>
      </w:r>
      <w:r>
        <w:rPr>
          <w:rFonts w:hint="eastAsia"/>
          <w:color w:val="000000"/>
        </w:rPr>
        <w:t>）であった。ただしこの値は</w:t>
      </w:r>
      <w:r>
        <w:rPr>
          <w:rFonts w:hint="eastAsia"/>
          <w:color w:val="000000"/>
        </w:rPr>
        <w:t>1km</w:t>
      </w:r>
      <w:r>
        <w:rPr>
          <w:rFonts w:hint="eastAsia"/>
          <w:color w:val="000000"/>
        </w:rPr>
        <w:t>区画全体の推計値であり、</w:t>
      </w:r>
      <w:r>
        <w:rPr>
          <w:rFonts w:hint="eastAsia"/>
          <w:color w:val="000000"/>
        </w:rPr>
        <w:t>A</w:t>
      </w:r>
      <w:r>
        <w:rPr>
          <w:rFonts w:hint="eastAsia"/>
          <w:color w:val="000000"/>
        </w:rPr>
        <w:t>〜</w:t>
      </w:r>
      <w:r>
        <w:rPr>
          <w:rFonts w:hint="eastAsia"/>
          <w:color w:val="000000"/>
        </w:rPr>
        <w:t>D</w:t>
      </w:r>
      <w:r>
        <w:rPr>
          <w:rFonts w:hint="eastAsia"/>
          <w:color w:val="000000"/>
        </w:rPr>
        <w:t>各</w:t>
      </w:r>
      <w:r>
        <w:rPr>
          <w:rFonts w:hint="eastAsia"/>
          <w:color w:val="000000"/>
        </w:rPr>
        <w:t>500m</w:t>
      </w:r>
      <w:r>
        <w:rPr>
          <w:rFonts w:hint="eastAsia"/>
          <w:color w:val="000000"/>
        </w:rPr>
        <w:t>メッシュの滞在人数ではない。これらのことから、居住人口が多い場所と平日昼間の滞在人口が多い場所の分布は、必ずしも一致しない可能性が考えられる。ただし、居住人口は</w:t>
      </w:r>
      <w:r>
        <w:rPr>
          <w:rFonts w:hint="eastAsia"/>
          <w:color w:val="000000"/>
        </w:rPr>
        <w:t>2020</w:t>
      </w:r>
      <w:r>
        <w:rPr>
          <w:rFonts w:hint="eastAsia"/>
          <w:color w:val="000000"/>
        </w:rPr>
        <w:t>年国勢調査の</w:t>
      </w:r>
      <w:r>
        <w:rPr>
          <w:rFonts w:hint="eastAsia"/>
          <w:color w:val="000000"/>
        </w:rPr>
        <w:t>500m</w:t>
      </w:r>
      <w:r>
        <w:rPr>
          <w:rFonts w:hint="eastAsia"/>
          <w:color w:val="000000"/>
        </w:rPr>
        <w:t>メッシュ、滞在人口は</w:t>
      </w:r>
      <w:r>
        <w:rPr>
          <w:rFonts w:hint="eastAsia"/>
          <w:color w:val="000000"/>
        </w:rPr>
        <w:t>2019</w:t>
      </w:r>
      <w:r>
        <w:rPr>
          <w:rFonts w:hint="eastAsia"/>
          <w:color w:val="000000"/>
        </w:rPr>
        <w:t>年の</w:t>
      </w:r>
      <w:r>
        <w:rPr>
          <w:rFonts w:hint="eastAsia"/>
          <w:color w:val="000000"/>
        </w:rPr>
        <w:t>1km</w:t>
      </w:r>
      <w:r>
        <w:rPr>
          <w:rFonts w:hint="eastAsia"/>
          <w:color w:val="000000"/>
        </w:rPr>
        <w:t>メッシュの推計値であり、対象年・集計単位・算出方法が異なるため、数値の直接差分や因果関係の判断は行わず、市内の活動傾向を読み取るにとどめる。</w:t>
      </w:r>
    </w:p>
    <w:tbl>
      <w:tblPr>
        <w:tblStyle w:val="Table"/>
        <w:tblW w:w="5000" w:type="pct"/>
        <w:jc w:val="left"/>
        <w:tblInd w:w="0" w:type="dxa"/>
        <w:tblLayout w:type="fixed"/>
        <w:tblCellMar>
          <w:top w:w="0" w:type="dxa"/>
          <w:left w:w="108" w:type="dxa"/>
          <w:bottom w:w="0" w:type="dxa"/>
          <w:right w:w="108" w:type="dxa"/>
        </w:tblCellMar>
        <w:tblLook w:noHBand="0" w:lastColumn="0" w:firstColumn="0" w:lastRow="0" w:firstRow="0" w:noVBand="0" w:val="0000"/>
      </w:tblPr>
      <w:tblGrid>
        <w:gridCol w:w="9026"/>
      </w:tblGrid>
      <w:tr>
        <w:trPr/>
        <w:tc>
          <w:tcPr>
            <w:tcW w:w="9026" w:type="dxa"/>
            <w:tcBorders/>
          </w:tcPr>
          <w:p>
            <w:pPr>
              <w:pStyle w:val="ImageCaption"/>
              <w:widowControl/>
              <w:spacing w:before="200" w:after="120"/>
              <w:jc w:val="center"/>
              <w:rPr>
                <w:rFonts w:ascii="Aptos" w:hAnsi="Aptos" w:eastAsia="" w:cs=""/>
                <w:color w:val="000000"/>
                <w:kern w:val="0"/>
                <w:sz w:val="24"/>
                <w:szCs w:val="24"/>
                <w:lang w:val="en-US" w:eastAsia="ja-JP" w:bidi="ar-SA"/>
              </w:rPr>
            </w:pPr>
            <w:bookmarkStart w:id="6" w:name="fig-3"/>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594350" cy="39560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594350" cy="3956050"/>
                          </a:xfrm>
                          <a:prstGeom prst="rect">
                            <a:avLst/>
                          </a:prstGeom>
                          <a:noFill/>
                        </pic:spPr>
                      </pic:pic>
                    </a:graphicData>
                  </a:graphic>
                </wp:anchor>
              </w:drawing>
            </w:r>
            <w:r>
              <w:rPr>
                <w:rFonts w:ascii="Aptos" w:hAnsi="Aptos" w:cs="" w:hint="eastAsia"/>
                <w:b/>
                <w:bCs/>
                <w:i w:val="false"/>
                <w:iCs w:val="false"/>
                <w:color w:val="000000"/>
                <w:kern w:val="0"/>
                <w:sz w:val="24"/>
                <w:szCs w:val="24"/>
                <w:lang w:val="en-US" w:eastAsia="ja-JP" w:bidi="ar-SA"/>
              </w:rPr>
              <w:t>図</w:t>
            </w:r>
            <w:r>
              <w:rPr>
                <w:rFonts w:eastAsia="" w:cs=""/>
                <w:b/>
                <w:bCs/>
                <w:i w:val="false"/>
                <w:iCs w:val="false"/>
                <w:color w:val="000000"/>
                <w:kern w:val="0"/>
                <w:sz w:val="24"/>
                <w:szCs w:val="24"/>
                <w:lang w:val="en-US" w:eastAsia="ja-JP" w:bidi="ar-SA"/>
              </w:rPr>
              <w:t>3</w:t>
            </w:r>
            <w:r>
              <w:rPr>
                <w:rFonts w:ascii="Aptos" w:hAnsi="Aptos" w:cs=""/>
                <w:b/>
                <w:bCs/>
                <w:i w:val="false"/>
                <w:iCs w:val="false"/>
                <w:color w:val="000000"/>
                <w:kern w:val="0"/>
                <w:sz w:val="24"/>
                <w:szCs w:val="24"/>
                <w:lang w:val="en-US" w:eastAsia="ja-JP" w:bidi="ar-SA"/>
              </w:rPr>
              <w:t>　</w:t>
            </w:r>
            <w:r>
              <w:rPr>
                <w:rFonts w:ascii="Aptos" w:hAnsi="Aptos" w:cs="" w:hint="eastAsia"/>
                <w:b/>
                <w:bCs/>
                <w:i w:val="false"/>
                <w:iCs w:val="false"/>
                <w:color w:val="000000"/>
                <w:kern w:val="0"/>
                <w:sz w:val="24"/>
                <w:szCs w:val="24"/>
                <w:lang w:val="en-US" w:eastAsia="ja-JP" w:bidi="ar-SA"/>
              </w:rPr>
              <w:t>武蔵野市とその周辺の推計滞在人口</w:t>
            </w:r>
            <w:bookmarkStart w:id="7" w:name="結果および考察"/>
            <w:bookmarkEnd w:id="6"/>
            <w:bookmarkEnd w:id="7"/>
          </w:p>
        </w:tc>
      </w:tr>
    </w:tbl>
    <w:p>
      <w:pPr>
        <w:pStyle w:val="Heading4"/>
        <w:rPr>
          <w:b/>
          <w:bCs/>
          <w:i w:val="false"/>
          <w:iCs w:val="false"/>
          <w:color w:val="000000"/>
        </w:rPr>
      </w:pPr>
      <w:r>
        <w:rPr>
          <w:b/>
          <w:bCs/>
          <w:i w:val="false"/>
          <w:iCs w:val="false"/>
          <w:color w:val="000000"/>
        </w:rPr>
      </w:r>
    </w:p>
    <w:p>
      <w:pPr>
        <w:pStyle w:val="Heading4"/>
        <w:rPr>
          <w:b/>
          <w:bCs/>
          <w:i w:val="false"/>
          <w:iCs w:val="false"/>
          <w:color w:val="000000"/>
        </w:rPr>
      </w:pPr>
      <w:bookmarkStart w:id="8" w:name="python実装"/>
      <w:r>
        <w:rPr>
          <w:b/>
          <w:bCs/>
          <w:i w:val="false"/>
          <w:iCs w:val="false"/>
          <w:color w:val="000000"/>
        </w:rPr>
        <w:t xml:space="preserve">5. </w:t>
      </w:r>
      <w:r>
        <w:rPr>
          <w:rFonts w:hint="eastAsia"/>
          <w:b/>
          <w:bCs/>
          <w:i w:val="false"/>
          <w:iCs w:val="false"/>
          <w:color w:val="000000"/>
        </w:rPr>
        <w:t>Python</w:t>
      </w:r>
      <w:r>
        <w:rPr>
          <w:rFonts w:hint="eastAsia"/>
          <w:b/>
          <w:bCs/>
          <w:i w:val="false"/>
          <w:iCs w:val="false"/>
          <w:color w:val="000000"/>
        </w:rPr>
        <w:t>実装</w:t>
      </w:r>
      <w:bookmarkEnd w:id="8"/>
    </w:p>
    <w:p>
      <w:pPr>
        <w:pStyle w:val="Heading4"/>
        <w:rPr>
          <w:b/>
          <w:bCs/>
          <w:i w:val="false"/>
          <w:iCs w:val="false"/>
          <w:color w:val="000000"/>
        </w:rPr>
      </w:pPr>
      <w:r>
        <w:rPr>
          <w:b/>
          <w:bCs/>
          <w:i w:val="false"/>
          <w:iCs w:val="false"/>
          <w:color w:val="000000"/>
        </w:rPr>
      </w:r>
    </w:p>
    <w:p>
      <w:pPr>
        <w:pStyle w:val="Heading4"/>
        <w:rPr>
          <w:b/>
          <w:bCs/>
          <w:i w:val="false"/>
          <w:iCs w:val="false"/>
          <w:color w:val="000000"/>
        </w:rPr>
      </w:pPr>
      <w:bookmarkStart w:id="9" w:name="解釈と限界"/>
      <w:r>
        <w:rPr>
          <w:b/>
          <w:bCs/>
          <w:i w:val="false"/>
          <w:iCs w:val="false"/>
          <w:color w:val="000000"/>
        </w:rPr>
        <w:t xml:space="preserve">6. </w:t>
      </w:r>
      <w:r>
        <w:rPr>
          <w:rFonts w:hint="eastAsia"/>
          <w:b/>
          <w:bCs/>
          <w:i w:val="false"/>
          <w:iCs w:val="false"/>
          <w:color w:val="000000"/>
        </w:rPr>
        <w:t>解釈と限界</w:t>
      </w:r>
    </w:p>
    <w:p>
      <w:pPr>
        <w:pStyle w:val="FirstParagraph"/>
        <w:rPr>
          <w:color w:val="000000"/>
        </w:rPr>
      </w:pPr>
      <w:r>
        <w:rPr>
          <w:color w:val="000000"/>
        </w:rPr>
        <w:t>　</w:t>
      </w:r>
      <w:r>
        <w:rPr>
          <w:rFonts w:hint="eastAsia"/>
          <w:color w:val="000000"/>
        </w:rPr>
        <w:t>本分析で抽出できたのは、人口が多く、駅代表点までの直線距離が相対的に長い</w:t>
      </w:r>
      <w:r>
        <w:rPr>
          <w:rFonts w:hint="eastAsia"/>
          <w:color w:val="000000"/>
        </w:rPr>
        <w:t>500m</w:t>
      </w:r>
      <w:r>
        <w:rPr>
          <w:rFonts w:hint="eastAsia"/>
          <w:color w:val="000000"/>
        </w:rPr>
        <w:t>メッシュである。バスの運行、実際の道路経路、駅の出入口、メッシュ内の居住位置を評価していないため、「公共交通空白地域」や「徒歩で不便な地域」とは断定できない。また市境メッシュの人口は市外部分を含むため、候補の参考値として分けた。建物用地、居住人口、推計滞在人口の対象年・解像度・測定方法も異なる。次の段階では、道路に沿った徒歩距離での分析やバス停・路線・運行頻度等のデータの統合、</w:t>
      </w:r>
      <w:r>
        <w:rPr>
          <w:rFonts w:hint="eastAsia"/>
          <w:color w:val="000000"/>
        </w:rPr>
        <w:t>800m</w:t>
      </w:r>
      <w:r>
        <w:rPr>
          <w:rFonts w:hint="eastAsia"/>
          <w:color w:val="000000"/>
        </w:rPr>
        <w:t>以外の閾値での比較などが考えられる。</w:t>
      </w:r>
      <w:bookmarkEnd w:id="9"/>
    </w:p>
    <w:p>
      <w:pPr>
        <w:pStyle w:val="Heading4"/>
        <w:rPr>
          <w:b/>
          <w:bCs/>
          <w:i w:val="false"/>
          <w:iCs w:val="false"/>
          <w:color w:val="000000"/>
        </w:rPr>
      </w:pPr>
      <w:r>
        <w:rPr>
          <w:b/>
          <w:bCs/>
          <w:i w:val="false"/>
          <w:iCs w:val="false"/>
          <w:color w:val="000000"/>
        </w:rPr>
      </w:r>
    </w:p>
    <w:p>
      <w:pPr>
        <w:pStyle w:val="BodyText"/>
        <w:rPr>
          <w:b/>
          <w:bCs/>
          <w:i w:val="false"/>
          <w:iCs w:val="false"/>
          <w:color w:val="000000"/>
        </w:rPr>
      </w:pPr>
      <w:r>
        <w:rPr>
          <w:b/>
          <w:bCs/>
          <w:i w:val="false"/>
          <w:iCs w:val="false"/>
          <w:color w:val="000000"/>
        </w:rPr>
      </w:r>
    </w:p>
    <w:p>
      <w:pPr>
        <w:pStyle w:val="BodyText"/>
        <w:rPr>
          <w:b/>
          <w:bCs/>
          <w:i w:val="false"/>
          <w:iCs w:val="false"/>
          <w:color w:val="000000"/>
        </w:rPr>
      </w:pPr>
      <w:r>
        <w:rPr>
          <w:b/>
          <w:bCs/>
          <w:i w:val="false"/>
          <w:iCs w:val="false"/>
          <w:color w:val="000000"/>
        </w:rPr>
      </w:r>
    </w:p>
    <w:p>
      <w:pPr>
        <w:pStyle w:val="BodyText"/>
        <w:rPr>
          <w:b/>
          <w:bCs/>
          <w:i w:val="false"/>
          <w:iCs w:val="false"/>
          <w:color w:val="000000"/>
        </w:rPr>
      </w:pPr>
      <w:r>
        <w:rPr>
          <w:b/>
          <w:bCs/>
          <w:i w:val="false"/>
          <w:iCs w:val="false"/>
          <w:color w:val="000000"/>
        </w:rPr>
      </w:r>
    </w:p>
    <w:p>
      <w:pPr>
        <w:pStyle w:val="Heading4"/>
        <w:rPr>
          <w:b/>
          <w:bCs/>
          <w:i w:val="false"/>
          <w:iCs w:val="false"/>
          <w:color w:val="000000"/>
        </w:rPr>
      </w:pPr>
      <w:bookmarkStart w:id="10" w:name="まとめ"/>
      <w:r>
        <w:rPr>
          <w:b/>
          <w:bCs/>
          <w:i w:val="false"/>
          <w:iCs w:val="false"/>
          <w:color w:val="000000"/>
        </w:rPr>
        <w:t xml:space="preserve">7. </w:t>
      </w:r>
      <w:r>
        <w:rPr>
          <w:b/>
          <w:bCs/>
          <w:i w:val="false"/>
          <w:iCs w:val="false"/>
          <w:color w:val="000000"/>
        </w:rPr>
        <w:t>まとめ</w:t>
      </w:r>
    </w:p>
    <w:p>
      <w:pPr>
        <w:pStyle w:val="FirstParagraph"/>
        <w:rPr>
          <w:color w:val="000000"/>
        </w:rPr>
      </w:pPr>
      <w:r>
        <w:rPr>
          <w:color w:val="000000"/>
        </w:rPr>
        <w:t>　</w:t>
      </w:r>
      <w:r>
        <w:rPr>
          <w:rFonts w:hint="eastAsia"/>
          <w:color w:val="000000"/>
        </w:rPr>
        <w:t>本分析の主目的である、東京都武蔵野市における鉄道駅からの距離と居住人口の関係について、</w:t>
      </w:r>
      <w:r>
        <w:rPr>
          <w:rFonts w:hint="eastAsia"/>
          <w:color w:val="000000"/>
        </w:rPr>
        <w:t>500m</w:t>
      </w:r>
      <w:r>
        <w:rPr>
          <w:rFonts w:hint="eastAsia"/>
          <w:color w:val="000000"/>
        </w:rPr>
        <w:t>メッシュ単位で分析し得られた結果から、駅から</w:t>
      </w:r>
      <w:r>
        <w:rPr>
          <w:rFonts w:hint="eastAsia"/>
          <w:color w:val="000000"/>
        </w:rPr>
        <w:t>800m</w:t>
      </w:r>
      <w:r>
        <w:rPr>
          <w:rFonts w:hint="eastAsia"/>
          <w:color w:val="000000"/>
        </w:rPr>
        <w:t>以上離れた高人口メッシュが市北部中央に集中していることが明らかになった。これらのメッシュは建物用地割合が高く、平日昼間の滞在人口分布とは必ずしも一致しない可能性が示された。より厳密な分析や推定、モデル構築を行うには、道路ネットワークに沿ったアクセス性の評価や、公共交通機関など居住環境に影響するその他の要因を含めた総合的な分析、またデータ間の年度や単位・粒度の違いを考慮する必要がある。</w:t>
      </w:r>
    </w:p>
    <w:p>
      <w:pPr>
        <w:pStyle w:val="FirstParagraph"/>
        <w:rPr>
          <w:rFonts w:hint="eastAsia"/>
          <w:color w:val="000000"/>
        </w:rPr>
      </w:pPr>
      <w:r>
        <w:rPr>
          <w:rFonts w:hint="eastAsia"/>
          <w:color w:val="000000"/>
        </w:rPr>
        <w:t>　一連の分析を通じて、</w:t>
      </w:r>
      <w:r>
        <w:rPr>
          <w:rFonts w:hint="eastAsia"/>
          <w:color w:val="000000"/>
        </w:rPr>
        <w:t>GIS</w:t>
      </w:r>
      <w:r>
        <w:rPr>
          <w:rFonts w:hint="eastAsia"/>
          <w:color w:val="000000"/>
        </w:rPr>
        <w:t>ソフトウェアを用いた空間分析の手法やデータの可視化、解釈の重要性について体験し、地理空間情報によるデータ分析の一端を学ぶことができた。今後はさらに学習、スキルを深めていきたい。</w:t>
      </w:r>
      <w:bookmarkEnd w:id="10"/>
    </w:p>
    <w:p>
      <w:pPr>
        <w:pStyle w:val="BodyText"/>
        <w:rPr>
          <w:rFonts w:hint="eastAsia"/>
          <w:color w:val="000000"/>
        </w:rPr>
      </w:pPr>
      <w:r>
        <w:rPr>
          <w:rFonts w:hint="eastAsia"/>
          <w:color w:val="000000"/>
        </w:rPr>
      </w:r>
    </w:p>
    <w:p>
      <w:pPr>
        <w:pStyle w:val="Heading4"/>
        <w:rPr>
          <w:b/>
          <w:bCs/>
          <w:i w:val="false"/>
          <w:iCs w:val="false"/>
          <w:color w:val="000000"/>
        </w:rPr>
      </w:pPr>
      <w:bookmarkStart w:id="11" w:name="データ出典"/>
      <w:r>
        <w:rPr>
          <w:b/>
          <w:bCs/>
          <w:i w:val="false"/>
          <w:iCs w:val="false"/>
          <w:color w:val="000000"/>
        </w:rPr>
        <w:t>データ出典</w:t>
      </w:r>
    </w:p>
    <w:p>
      <w:pPr>
        <w:pStyle w:val="Compact"/>
        <w:numPr>
          <w:ilvl w:val="0"/>
          <w:numId w:val="3"/>
        </w:numPr>
        <w:rPr>
          <w:color w:val="000000"/>
        </w:rPr>
      </w:pPr>
      <w:r>
        <w:rPr>
          <w:rFonts w:hint="eastAsia"/>
          <w:color w:val="000000"/>
        </w:rPr>
        <w:t>居住人口・</w:t>
      </w:r>
      <w:r>
        <w:rPr>
          <w:rFonts w:hint="eastAsia"/>
          <w:color w:val="000000"/>
        </w:rPr>
        <w:t>500m</w:t>
      </w:r>
      <w:r>
        <w:rPr>
          <w:rFonts w:hint="eastAsia"/>
          <w:color w:val="000000"/>
        </w:rPr>
        <w:t>境界：</w:t>
      </w:r>
      <w:r>
        <w:rPr>
          <w:rFonts w:hint="eastAsia"/>
          <w:color w:val="000000"/>
        </w:rPr>
        <w:t>e-Stat 2020</w:t>
      </w:r>
      <w:r>
        <w:rPr>
          <w:rFonts w:hint="eastAsia"/>
          <w:color w:val="000000"/>
        </w:rPr>
        <w:t>年国勢調査地域メッシュ統計・メッシュ境界データ。</w:t>
      </w:r>
    </w:p>
    <w:p>
      <w:pPr>
        <w:pStyle w:val="Compact"/>
        <w:numPr>
          <w:ilvl w:val="0"/>
          <w:numId w:val="1"/>
        </w:numPr>
        <w:rPr>
          <w:color w:val="000000"/>
        </w:rPr>
      </w:pPr>
      <w:r>
        <w:rPr>
          <w:rFonts w:hint="eastAsia"/>
          <w:color w:val="000000"/>
        </w:rPr>
        <w:t>駅・鉄道：国土交通省「国土数値情報</w:t>
      </w:r>
      <w:r>
        <w:rPr>
          <w:color w:val="000000"/>
        </w:rPr>
        <w:t xml:space="preserve"> </w:t>
      </w:r>
      <w:r>
        <w:rPr>
          <w:color w:val="000000"/>
        </w:rPr>
        <w:t>N02</w:t>
      </w:r>
      <w:r>
        <w:rPr>
          <w:color w:val="000000"/>
        </w:rPr>
        <w:t xml:space="preserve">」 </w:t>
      </w:r>
      <w:r>
        <w:rPr>
          <w:rFonts w:hint="eastAsia"/>
          <w:color w:val="000000"/>
        </w:rPr>
        <w:t>2025</w:t>
      </w:r>
      <w:r>
        <w:rPr>
          <w:rFonts w:hint="eastAsia"/>
          <w:color w:val="000000"/>
        </w:rPr>
        <w:t>年</w:t>
      </w:r>
    </w:p>
    <w:p>
      <w:pPr>
        <w:pStyle w:val="Compact"/>
        <w:numPr>
          <w:ilvl w:val="0"/>
          <w:numId w:val="1"/>
        </w:numPr>
        <w:rPr>
          <w:color w:val="000000"/>
        </w:rPr>
      </w:pPr>
      <w:r>
        <w:rPr>
          <w:rFonts w:hint="eastAsia"/>
          <w:color w:val="000000"/>
        </w:rPr>
        <w:t>市境：国土交通省「国土数値情報</w:t>
      </w:r>
      <w:r>
        <w:rPr>
          <w:color w:val="000000"/>
        </w:rPr>
        <w:t xml:space="preserve"> </w:t>
      </w:r>
      <w:r>
        <w:rPr>
          <w:color w:val="000000"/>
        </w:rPr>
        <w:t>N03</w:t>
      </w:r>
      <w:r>
        <w:rPr>
          <w:color w:val="000000"/>
        </w:rPr>
        <w:t xml:space="preserve">」 </w:t>
      </w:r>
      <w:r>
        <w:rPr>
          <w:rFonts w:hint="eastAsia"/>
          <w:color w:val="000000"/>
        </w:rPr>
        <w:t>2023</w:t>
      </w:r>
      <w:r>
        <w:rPr>
          <w:rFonts w:hint="eastAsia"/>
          <w:color w:val="000000"/>
        </w:rPr>
        <w:t>年</w:t>
      </w:r>
    </w:p>
    <w:p>
      <w:pPr>
        <w:pStyle w:val="Compact"/>
        <w:numPr>
          <w:ilvl w:val="0"/>
          <w:numId w:val="1"/>
        </w:numPr>
        <w:rPr>
          <w:color w:val="000000"/>
        </w:rPr>
      </w:pPr>
      <w:r>
        <w:rPr>
          <w:rFonts w:hint="eastAsia"/>
          <w:color w:val="000000"/>
        </w:rPr>
        <w:t>土地利用：国土交通省「国土数値情報</w:t>
      </w:r>
      <w:r>
        <w:rPr>
          <w:color w:val="000000"/>
        </w:rPr>
        <w:t xml:space="preserve"> </w:t>
      </w:r>
      <w:r>
        <w:rPr>
          <w:color w:val="000000"/>
        </w:rPr>
        <w:t>L03-b</w:t>
      </w:r>
      <w:r>
        <w:rPr>
          <w:color w:val="000000"/>
        </w:rPr>
        <w:t>」</w:t>
      </w:r>
      <w:r>
        <w:rPr>
          <w:color w:val="000000"/>
        </w:rPr>
        <w:t>100m</w:t>
      </w:r>
      <w:r>
        <w:rPr>
          <w:color w:val="000000"/>
        </w:rPr>
        <w:t xml:space="preserve">メッシュ </w:t>
      </w:r>
      <w:r>
        <w:rPr>
          <w:rFonts w:hint="eastAsia"/>
          <w:color w:val="000000"/>
        </w:rPr>
        <w:t>2021</w:t>
      </w:r>
      <w:r>
        <w:rPr>
          <w:rFonts w:hint="eastAsia"/>
          <w:color w:val="000000"/>
        </w:rPr>
        <w:t>年</w:t>
      </w:r>
    </w:p>
    <w:p>
      <w:pPr>
        <w:pStyle w:val="Compact"/>
        <w:numPr>
          <w:ilvl w:val="0"/>
          <w:numId w:val="1"/>
        </w:numPr>
        <w:rPr>
          <w:color w:val="000000"/>
        </w:rPr>
      </w:pPr>
      <w:r>
        <w:rPr>
          <w:rFonts w:hint="eastAsia"/>
          <w:color w:val="000000"/>
        </w:rPr>
        <w:t>推計滞在人口：国土交通省「全国の人流オープンデータ」</w:t>
      </w:r>
      <w:r>
        <w:rPr>
          <w:rFonts w:hint="eastAsia"/>
          <w:color w:val="000000"/>
        </w:rPr>
        <w:t>1km</w:t>
      </w:r>
      <w:r>
        <w:rPr>
          <w:rFonts w:hint="eastAsia"/>
          <w:color w:val="000000"/>
        </w:rPr>
        <w:t xml:space="preserve">メッシュ </w:t>
      </w:r>
      <w:r>
        <w:rPr>
          <w:rFonts w:hint="eastAsia"/>
          <w:color w:val="000000"/>
        </w:rPr>
        <w:t>2019</w:t>
      </w:r>
      <w:r>
        <w:rPr>
          <w:rFonts w:hint="eastAsia"/>
          <w:color w:val="000000"/>
        </w:rPr>
        <w:t>年</w:t>
      </w:r>
      <w:r>
        <w:rPr>
          <w:rFonts w:hint="eastAsia"/>
          <w:color w:val="000000"/>
        </w:rPr>
        <w:t>10</w:t>
      </w:r>
      <w:r>
        <w:rPr>
          <w:rFonts w:hint="eastAsia"/>
          <w:color w:val="000000"/>
        </w:rPr>
        <w:t>月 平日昼間</w:t>
      </w:r>
    </w:p>
    <w:p>
      <w:pPr>
        <w:pStyle w:val="Compact"/>
        <w:numPr>
          <w:ilvl w:val="0"/>
          <w:numId w:val="1"/>
        </w:numPr>
        <w:rPr>
          <w:color w:val="000000"/>
        </w:rPr>
      </w:pPr>
      <w:r>
        <w:rPr>
          <w:rFonts w:hint="eastAsia"/>
          <w:color w:val="000000"/>
        </w:rPr>
        <w:t>1km</w:t>
      </w:r>
      <w:r>
        <w:rPr>
          <w:rFonts w:hint="eastAsia"/>
          <w:color w:val="000000"/>
        </w:rPr>
        <w:t>境界：</w:t>
      </w:r>
      <w:r>
        <w:rPr>
          <w:rFonts w:hint="eastAsia"/>
          <w:color w:val="000000"/>
        </w:rPr>
        <w:t>e-Stat</w:t>
      </w:r>
      <w:r>
        <w:rPr>
          <w:color w:val="000000"/>
        </w:rPr>
        <w:t xml:space="preserve"> </w:t>
      </w:r>
      <w:r>
        <w:rPr>
          <w:rFonts w:hint="eastAsia"/>
          <w:color w:val="000000"/>
        </w:rPr>
        <w:t>3</w:t>
      </w:r>
      <w:r>
        <w:rPr>
          <w:rFonts w:hint="eastAsia"/>
          <w:color w:val="000000"/>
        </w:rPr>
        <w:t>次メッシュ境界データ</w:t>
      </w:r>
      <w:bookmarkEnd w:id="11"/>
    </w:p>
    <w:p>
      <w:pPr>
        <w:pStyle w:val="Compact"/>
        <w:rPr>
          <w:rFonts w:hint="eastAsia"/>
          <w:color w:val="000000"/>
        </w:rPr>
      </w:pPr>
      <w:r>
        <w:rPr>
          <w:rFonts w:hint="eastAsia"/>
          <w:color w:val="000000"/>
        </w:rPr>
      </w:r>
    </w:p>
    <w:p>
      <w:pPr>
        <w:pStyle w:val="Compact"/>
        <w:numPr>
          <w:ilvl w:val="0"/>
          <w:numId w:val="0"/>
        </w:numPr>
        <w:ind w:hanging="0" w:left="720"/>
        <w:rPr>
          <w:rFonts w:hint="eastAsia"/>
          <w:color w:val="000000"/>
        </w:rPr>
      </w:pPr>
      <w:r>
        <w:rPr>
          <w:rFonts w:hint="eastAsia"/>
          <w:color w:val="000000"/>
        </w:rPr>
      </w:r>
    </w:p>
    <w:p>
      <w:pPr>
        <w:pStyle w:val="Heading4"/>
        <w:rPr>
          <w:b/>
          <w:bCs/>
          <w:i w:val="false"/>
          <w:iCs w:val="false"/>
          <w:color w:val="000000"/>
        </w:rPr>
      </w:pPr>
      <w:bookmarkStart w:id="12" w:name="参考文献"/>
      <w:r>
        <w:rPr>
          <w:b/>
          <w:bCs/>
          <w:i w:val="false"/>
          <w:iCs w:val="false"/>
          <w:color w:val="000000"/>
        </w:rPr>
        <w:t>参考文献</w:t>
      </w:r>
    </w:p>
    <w:p>
      <w:pPr>
        <w:pStyle w:val="FirstParagraph"/>
        <w:rPr/>
      </w:pPr>
      <w:r>
        <w:rPr/>
        <w:t>・</w:t>
      </w:r>
      <w:r>
        <w:rPr/>
        <w:t xml:space="preserve">QGIS </w:t>
      </w:r>
      <w:r>
        <w:rPr>
          <w:rFonts w:hint="eastAsia"/>
        </w:rPr>
        <w:t>リソース（</w:t>
      </w:r>
      <w:hyperlink r:id="rId5">
        <w:r>
          <w:rPr>
            <w:rStyle w:val="Hyperlink"/>
            <w:rFonts w:hint="eastAsia"/>
          </w:rPr>
          <w:t>https://www.qgis.org/ja/resources/hub/</w:t>
        </w:r>
      </w:hyperlink>
      <w:r>
        <w:rPr>
          <w:rFonts w:hint="eastAsia"/>
        </w:rPr>
        <w:t>）</w:t>
      </w:r>
      <w:bookmarkEnd w:id="12"/>
    </w:p>
    <w:p>
      <w:pPr>
        <w:pStyle w:val="FirstParagraph"/>
        <w:rPr/>
      </w:pPr>
      <w:r>
        <w:rPr/>
        <w:t>・本プロジェクトの</w:t>
      </w:r>
      <w:r>
        <w:rPr/>
        <w:t>github</w:t>
      </w:r>
      <w:r>
        <w:rPr/>
        <w:t>リポジトリ（</w:t>
      </w:r>
      <w:r>
        <w:rPr/>
        <w:t>https://github.com/satoshi-yoshida-jp/gis-portfolio</w:t>
      </w:r>
      <w:r>
        <w:rPr/>
        <w:t>）</w:t>
      </w:r>
    </w:p>
    <w:p>
      <w:pPr>
        <w:pStyle w:val="Compact"/>
        <w:rPr>
          <w:rFonts w:hint="eastAsia"/>
          <w:color w:val="000000"/>
        </w:rPr>
      </w:pPr>
      <w:r>
        <w:rPr>
          <w:rFonts w:hint="eastAsia"/>
          <w:color w:val="000000"/>
        </w:rPr>
      </w:r>
    </w:p>
    <w:p>
      <w:pPr>
        <w:pStyle w:val="Compact"/>
        <w:spacing w:before="36" w:after="36"/>
        <w:rPr>
          <w:rFonts w:hint="eastAsia"/>
          <w:color w:val="000000"/>
        </w:rPr>
      </w:pPr>
      <w:r>
        <w:rPr>
          <w:rFonts w:hint="eastAsia"/>
          <w:color w:val="000000"/>
        </w:rPr>
      </w:r>
    </w:p>
    <w:sectPr>
      <w:footerReference w:type="default" r:id="rId6"/>
      <w:type w:val="nextPage"/>
      <w:pgSz w:w="11906" w:h="16838"/>
      <w:pgMar w:left="1440" w:right="1440" w:gutter="0" w:header="0" w:top="1440" w:footer="1440" w:bottom="220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embedSystemFonts/>
  <w:stylePaneFormatFilter w:val="0004"/>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10fd9"/>
    <w:rPr>
      <w:rFonts w:eastAsia="" w:cs="" w:cstheme="majorBidi" w:eastAsiaTheme="majorEastAsia"/>
      <w:color w:themeColor="text1" w:themeTint="d8" w:val="272727"/>
    </w:rPr>
  </w:style>
  <w:style w:type="character" w:styleId="DefaultParagraphFont" w:default="1">
    <w:name w:val="Default Paragraph Font"/>
    <w:semiHidden/>
    <w:unhideWhenUsed/>
    <w:rPr/>
  </w:style>
  <w:style w:type="character" w:styleId="BodyTextChar" w:customStyle="1">
    <w:name w:val="Body Text Char"/>
    <w:basedOn w:val="DefaultParagraphFont"/>
    <w:rPr/>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rPr/>
  </w:style>
  <w:style w:type="character" w:styleId="FootnoteCharacters">
    <w:name w:val="Footnote Characters"/>
    <w:basedOn w:val="BodyTextChar"/>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rPr>
      <w:b/>
      <w:color w:val="003B4F"/>
      <w:shd w:fill="F1F3F5" w:val="clear"/>
    </w:rPr>
  </w:style>
  <w:style w:type="character" w:styleId="DataTypeTok" w:customStyle="1">
    <w:name w:val="DataTypeTok"/>
    <w:basedOn w:val="VerbatimChar"/>
    <w:rPr>
      <w:color w:val="AD0000"/>
      <w:shd w:fill="F1F3F5" w:val="clear"/>
    </w:rPr>
  </w:style>
  <w:style w:type="character" w:styleId="DecValTok" w:customStyle="1">
    <w:name w:val="DecValTok"/>
    <w:basedOn w:val="VerbatimChar"/>
    <w:rPr>
      <w:color w:val="AD0000"/>
      <w:shd w:fill="F1F3F5" w:val="clear"/>
    </w:rPr>
  </w:style>
  <w:style w:type="character" w:styleId="BaseNTok" w:customStyle="1">
    <w:name w:val="BaseNTok"/>
    <w:basedOn w:val="VerbatimChar"/>
    <w:rPr>
      <w:color w:val="AD0000"/>
      <w:shd w:fill="F1F3F5" w:val="clear"/>
    </w:rPr>
  </w:style>
  <w:style w:type="character" w:styleId="FloatTok" w:customStyle="1">
    <w:name w:val="FloatTok"/>
    <w:basedOn w:val="VerbatimChar"/>
    <w:rPr>
      <w:color w:val="AD0000"/>
      <w:shd w:fill="F1F3F5" w:val="clear"/>
    </w:rPr>
  </w:style>
  <w:style w:type="character" w:styleId="ConstantTok" w:customStyle="1">
    <w:name w:val="ConstantTok"/>
    <w:basedOn w:val="VerbatimChar"/>
    <w:rPr>
      <w:color w:val="8F5902"/>
      <w:shd w:fill="F1F3F5" w:val="clear"/>
    </w:rPr>
  </w:style>
  <w:style w:type="character" w:styleId="CharTok" w:customStyle="1">
    <w:name w:val="CharTok"/>
    <w:basedOn w:val="VerbatimChar"/>
    <w:rPr>
      <w:color w:val="20794D"/>
      <w:shd w:fill="F1F3F5" w:val="clear"/>
    </w:rPr>
  </w:style>
  <w:style w:type="character" w:styleId="SpecialCharTok" w:customStyle="1">
    <w:name w:val="SpecialCharTok"/>
    <w:basedOn w:val="VerbatimChar"/>
    <w:rPr>
      <w:color w:val="5E5E5E"/>
      <w:shd w:fill="F1F3F5" w:val="clear"/>
    </w:rPr>
  </w:style>
  <w:style w:type="character" w:styleId="StringTok" w:customStyle="1">
    <w:name w:val="StringTok"/>
    <w:basedOn w:val="VerbatimChar"/>
    <w:rPr>
      <w:color w:val="20794D"/>
      <w:shd w:fill="F1F3F5" w:val="clear"/>
    </w:rPr>
  </w:style>
  <w:style w:type="character" w:styleId="VerbatimStringTok" w:customStyle="1">
    <w:name w:val="VerbatimStringTok"/>
    <w:basedOn w:val="VerbatimChar"/>
    <w:rPr>
      <w:color w:val="20794D"/>
      <w:shd w:fill="F1F3F5" w:val="clear"/>
    </w:rPr>
  </w:style>
  <w:style w:type="character" w:styleId="SpecialStringTok" w:customStyle="1">
    <w:name w:val="SpecialStringTok"/>
    <w:basedOn w:val="VerbatimChar"/>
    <w:rPr>
      <w:color w:val="20794D"/>
      <w:shd w:fill="F1F3F5" w:val="clear"/>
    </w:rPr>
  </w:style>
  <w:style w:type="character" w:styleId="ImportTok" w:customStyle="1">
    <w:name w:val="ImportTok"/>
    <w:basedOn w:val="VerbatimChar"/>
    <w:rPr>
      <w:color w:val="00769E"/>
      <w:shd w:fill="F1F3F5" w:val="clear"/>
    </w:rPr>
  </w:style>
  <w:style w:type="character" w:styleId="CommentTok" w:customStyle="1">
    <w:name w:val="CommentTok"/>
    <w:basedOn w:val="VerbatimChar"/>
    <w:rPr>
      <w:color w:val="5E5E5E"/>
      <w:shd w:fill="F1F3F5" w:val="clear"/>
    </w:rPr>
  </w:style>
  <w:style w:type="character" w:styleId="DocumentationTok" w:customStyle="1">
    <w:name w:val="DocumentationTok"/>
    <w:basedOn w:val="VerbatimChar"/>
    <w:rPr>
      <w:i/>
      <w:color w:val="5E5E5E"/>
      <w:shd w:fill="F1F3F5" w:val="clear"/>
    </w:rPr>
  </w:style>
  <w:style w:type="character" w:styleId="AnnotationTok" w:customStyle="1">
    <w:name w:val="AnnotationTok"/>
    <w:basedOn w:val="VerbatimChar"/>
    <w:rPr>
      <w:color w:val="5E5E5E"/>
      <w:shd w:fill="F1F3F5" w:val="clear"/>
    </w:rPr>
  </w:style>
  <w:style w:type="character" w:styleId="CommentVarTok" w:customStyle="1">
    <w:name w:val="CommentVarTok"/>
    <w:basedOn w:val="VerbatimChar"/>
    <w:rPr>
      <w:i/>
      <w:color w:val="5E5E5E"/>
      <w:shd w:fill="F1F3F5" w:val="clear"/>
    </w:rPr>
  </w:style>
  <w:style w:type="character" w:styleId="OtherTok" w:customStyle="1">
    <w:name w:val="OtherTok"/>
    <w:basedOn w:val="VerbatimChar"/>
    <w:rPr>
      <w:color w:val="003B4F"/>
      <w:shd w:fill="F1F3F5" w:val="clear"/>
    </w:rPr>
  </w:style>
  <w:style w:type="character" w:styleId="FunctionTok" w:customStyle="1">
    <w:name w:val="FunctionTok"/>
    <w:basedOn w:val="VerbatimChar"/>
    <w:rPr>
      <w:color w:val="4758AB"/>
      <w:shd w:fill="F1F3F5" w:val="clear"/>
    </w:rPr>
  </w:style>
  <w:style w:type="character" w:styleId="VariableTok" w:customStyle="1">
    <w:name w:val="VariableTok"/>
    <w:basedOn w:val="VerbatimChar"/>
    <w:rPr>
      <w:color w:val="111111"/>
      <w:shd w:fill="F1F3F5" w:val="clear"/>
    </w:rPr>
  </w:style>
  <w:style w:type="character" w:styleId="ControlFlowTok" w:customStyle="1">
    <w:name w:val="ControlFlowTok"/>
    <w:basedOn w:val="VerbatimChar"/>
    <w:rPr>
      <w:b/>
      <w:color w:val="003B4F"/>
      <w:shd w:fill="F1F3F5" w:val="clear"/>
    </w:rPr>
  </w:style>
  <w:style w:type="character" w:styleId="OperatorTok" w:customStyle="1">
    <w:name w:val="OperatorTok"/>
    <w:basedOn w:val="VerbatimChar"/>
    <w:rPr>
      <w:color w:val="5E5E5E"/>
      <w:shd w:fill="F1F3F5" w:val="clear"/>
    </w:rPr>
  </w:style>
  <w:style w:type="character" w:styleId="BuiltInTok" w:customStyle="1">
    <w:name w:val="BuiltInTok"/>
    <w:basedOn w:val="VerbatimChar"/>
    <w:rPr>
      <w:color w:val="003B4F"/>
      <w:shd w:fill="F1F3F5" w:val="clear"/>
    </w:rPr>
  </w:style>
  <w:style w:type="character" w:styleId="ExtensionTok" w:customStyle="1">
    <w:name w:val="ExtensionTok"/>
    <w:basedOn w:val="VerbatimChar"/>
    <w:rPr>
      <w:color w:val="003B4F"/>
      <w:shd w:fill="F1F3F5" w:val="clear"/>
    </w:rPr>
  </w:style>
  <w:style w:type="character" w:styleId="PreprocessorTok" w:customStyle="1">
    <w:name w:val="PreprocessorTok"/>
    <w:basedOn w:val="VerbatimChar"/>
    <w:rPr>
      <w:color w:val="AD0000"/>
      <w:shd w:fill="F1F3F5" w:val="clear"/>
    </w:rPr>
  </w:style>
  <w:style w:type="character" w:styleId="AttributeTok" w:customStyle="1">
    <w:name w:val="AttributeTok"/>
    <w:basedOn w:val="VerbatimChar"/>
    <w:rPr>
      <w:color w:val="657422"/>
      <w:shd w:fill="F1F3F5" w:val="clear"/>
    </w:rPr>
  </w:style>
  <w:style w:type="character" w:styleId="RegionMarkerTok" w:customStyle="1">
    <w:name w:val="RegionMarkerTok"/>
    <w:basedOn w:val="VerbatimChar"/>
    <w:rPr>
      <w:color w:val="003B4F"/>
      <w:shd w:fill="F1F3F5" w:val="clear"/>
    </w:rPr>
  </w:style>
  <w:style w:type="character" w:styleId="InformationTok" w:customStyle="1">
    <w:name w:val="InformationTok"/>
    <w:basedOn w:val="VerbatimChar"/>
    <w:rPr>
      <w:color w:val="5E5E5E"/>
      <w:shd w:fill="F1F3F5" w:val="clear"/>
    </w:rPr>
  </w:style>
  <w:style w:type="character" w:styleId="WarningTok" w:customStyle="1">
    <w:name w:val="WarningTok"/>
    <w:basedOn w:val="VerbatimChar"/>
    <w:rPr>
      <w:i/>
      <w:color w:val="5E5E5E"/>
      <w:shd w:fill="F1F3F5" w:val="clear"/>
    </w:rPr>
  </w:style>
  <w:style w:type="character" w:styleId="AlertTok" w:customStyle="1">
    <w:name w:val="AlertTok"/>
    <w:basedOn w:val="VerbatimChar"/>
    <w:rPr>
      <w:color w:val="AD0000"/>
      <w:shd w:fill="F1F3F5" w:val="clear"/>
    </w:rPr>
  </w:style>
  <w:style w:type="character" w:styleId="ErrorTok" w:customStyle="1">
    <w:name w:val="ErrorTok"/>
    <w:basedOn w:val="VerbatimChar"/>
    <w:rPr>
      <w:color w:val="AD0000"/>
      <w:shd w:fill="F1F3F5" w:val="clear"/>
    </w:rPr>
  </w:style>
  <w:style w:type="character" w:styleId="NormalTok" w:customStyle="1">
    <w:name w:val="NormalTok"/>
    <w:basedOn w:val="VerbatimChar"/>
    <w:rPr>
      <w:color w:val="003B4F"/>
      <w:shd w:fill="F1F3F5" w:val="clear"/>
    </w:rPr>
  </w:style>
  <w:style w:type="paragraph" w:styleId="Heading">
    <w:name w:val="Heading"/>
    <w:basedOn w:val="Normal"/>
    <w:next w:val="BodyTex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pPr>
      <w:spacing w:before="0" w:after="120"/>
    </w:pPr>
    <w:rPr>
      <w:i/>
    </w:rPr>
  </w:style>
  <w:style w:type="paragraph" w:styleId="Index">
    <w:name w:val="Index"/>
    <w:basedOn w:val="Normal"/>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pPr>
      <w:keepNext w:val="true"/>
      <w:keepLines/>
      <w:spacing w:before="0" w:after="0"/>
    </w:pPr>
    <w:rPr>
      <w:b/>
    </w:rPr>
  </w:style>
  <w:style w:type="paragraph" w:styleId="Definition" w:customStyle="1">
    <w:name w:val="Definition"/>
    <w:basedOn w:val="Normal"/>
    <w:pPr/>
    <w:rPr/>
  </w:style>
  <w:style w:type="paragraph" w:styleId="TableCaption" w:customStyle="1">
    <w:name w:val="Table Caption"/>
    <w:basedOn w:val="Caption"/>
    <w:pPr>
      <w:keepNext w:val="true"/>
    </w:pPr>
    <w:rPr/>
  </w:style>
  <w:style w:type="paragraph" w:styleId="ImageCaption" w:customStyle="1">
    <w:name w:val="Image Caption"/>
    <w:basedOn w:val="Caption"/>
    <w:pPr/>
    <w:rPr/>
  </w:style>
  <w:style w:type="paragraph" w:styleId="Figure" w:customStyle="1">
    <w:name w:val="Figure"/>
    <w:basedOn w:val="Normal"/>
    <w:pPr/>
    <w:rPr/>
  </w:style>
  <w:style w:type="paragraph" w:styleId="CaptionedFigure" w:customStyle="1">
    <w:name w:val="Captioned Figure"/>
    <w:basedOn w:val="Figure"/>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pPr>
      <w:shd w:val="clear" w:fill="F1F3F5"/>
    </w:pPr>
    <w:rPr/>
  </w:style>
  <w:style w:type="paragraph" w:styleId="HeaderandFooter">
    <w:name w:val="Header and Footer"/>
    <w:basedOn w:val="Normal"/>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qgis.org/ja/resources/hub/"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504</TotalTime>
  <Application>LibreOffice/26.8.0.3$MacOSX_X86_64 LibreOffice_project/bce0998afefdbc355585ca324285661a2170ba77</Application>
  <AppVersion>15.0000</AppVersion>
  <Pages>5</Pages>
  <Words>2571</Words>
  <Characters>2973</Characters>
  <CharactersWithSpaces>3011</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2026-09-27T07:28:48Z</dcterms:created>
  <dc:creator>吉田 悟志</dc:creator>
  <dc:description/>
  <dc:language>ja</dc:language>
  <cp:lastModifiedBy/>
  <cp:lastPrinted>2026-09-27T16:31:17Z</cp:lastPrinted>
  <dcterms:modified xsi:type="dcterms:W3CDTF">2026-09-28T02:13:22Z</dcterms:modified>
  <cp:revision>36</cp:revision>
  <dc:subject/>
  <dc:title>武蔵野市における鉄道駅距離と居住人口の空間分析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2026-09-27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高人口500mメッシュの抽出と土地利用・昼間滞在の照合</vt:lpwstr>
  </property>
  <property fmtid="{D5CDD505-2E9C-101B-9397-08002B2CF9AE}" pid="12" name="toc-title">
    <vt:lpwstr>目次</vt:lpwstr>
  </property>
</Properties>
</file>