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0" w:line="312"/>
      </w:pPr>
      <w:r>
        <w:rPr>
          <w:rFonts w:ascii="Pretendard" w:cs="Pretendard" w:eastAsia="Pretendard" w:hAnsi="Pretendard"/>
          <w:b w:val="false"/>
          <w:bCs w:val="false"/>
          <w:color w:val="222222"/>
          <w:sz w:val="21"/>
          <w:szCs w:val="21"/>
        </w:rPr>
        <w:t xml:space="preserve"/>
      </w:r>
    </w:p>
    <w:p>
      <w:pPr>
        <w:spacing w:after="120" w:before="40" w:line="312"/>
        <w:jc w:val="center"/>
      </w:pPr>
      <w:r>
        <w:rPr>
          <w:rFonts w:ascii="Pretendard" w:cs="Pretendard" w:eastAsia="Pretendard" w:hAnsi="Pretendard"/>
          <w:b/>
          <w:bCs/>
          <w:color w:val="858585"/>
          <w:sz w:val="32"/>
          <w:szCs w:val="32"/>
        </w:rPr>
        <w:t xml:space="preserve">태양광·수소 발전 데이터 분석 예상안</w:t>
      </w:r>
    </w:p>
    <w:p>
      <w:pPr>
        <w:spacing w:after="200" w:before="40" w:line="288"/>
        <w:jc w:val="center"/>
      </w:pPr>
      <w:r>
        <w:rPr>
          <w:rFonts w:ascii="Pretendard" w:cs="Pretendard" w:eastAsia="Pretendard" w:hAnsi="Pretendard"/>
          <w:b/>
          <w:bCs/>
          <w:color w:val="222222"/>
          <w:sz w:val="60"/>
          <w:szCs w:val="60"/>
        </w:rPr>
        <w:t xml:space="preserve">설비 데이터로 보는 수명과 개선 여지</w:t>
      </w:r>
    </w:p>
    <w:p>
      <w:pPr>
        <w:spacing w:after="120" w:before="40" w:line="312"/>
        <w:jc w:val="center"/>
      </w:pPr>
      <w:r>
        <w:rPr>
          <w:rFonts w:ascii="Pretendard" w:cs="Pretendard" w:eastAsia="Pretendard" w:hAnsi="Pretendard"/>
          <w:b w:val="false"/>
          <w:bCs w:val="false"/>
          <w:color w:val="4081ED"/>
          <w:sz w:val="26"/>
          <w:szCs w:val="26"/>
        </w:rPr>
        <w:t xml:space="preserve">보통 받는 데이터 · 월/분기 AI 분석 · 리포트 예상안</w:t>
      </w:r>
    </w:p>
    <w:p>
      <w:pPr>
        <w:spacing w:after="100" w:before="4000" w:line="312"/>
      </w:pPr>
      <w:r>
        <w:rPr>
          <w:rFonts w:ascii="Pretendard" w:cs="Pretendard" w:eastAsia="Pretendard" w:hAnsi="Pretendard"/>
          <w:b w:val="false"/>
          <w:bCs w:val="false"/>
          <w:color w:val="222222"/>
          <w:sz w:val="21"/>
          <w:szCs w:val="21"/>
        </w:rPr>
        <w:t xml:space="preserve"/>
      </w:r>
    </w:p>
    <w:p>
      <w:pPr>
        <w:spacing w:after="80" w:before="40" w:line="312"/>
        <w:jc w:val="center"/>
      </w:pPr>
      <w:r>
        <w:rPr>
          <w:rFonts w:ascii="Pretendard" w:cs="Pretendard" w:eastAsia="Pretendard" w:hAnsi="Pretendard"/>
          <w:b/>
          <w:bCs/>
          <w:color w:val="222222"/>
          <w:sz w:val="28"/>
          <w:szCs w:val="28"/>
        </w:rPr>
        <w:t xml:space="preserve">주식회사 퍼스트씨앤디</w:t>
      </w:r>
    </w:p>
    <w:p>
      <w:pPr>
        <w:spacing w:after="80" w:before="40" w:line="312"/>
        <w:jc w:val="center"/>
      </w:pPr>
      <w:r>
        <w:rPr>
          <w:rFonts w:ascii="Pretendard" w:cs="Pretendard" w:eastAsia="Pretendard" w:hAnsi="Pretendard"/>
          <w:b w:val="false"/>
          <w:bCs w:val="false"/>
          <w:color w:val="858585"/>
          <w:sz w:val="24"/>
          <w:szCs w:val="24"/>
        </w:rPr>
        <w:t xml:space="preserve">작성일 2026. 09. 14</w:t>
      </w:r>
    </w:p>
    <w:p>
      <w:pPr>
        <w:spacing w:after="80" w:before="40" w:line="312"/>
        <w:jc w:val="center"/>
      </w:pPr>
      <w:r>
        <w:rPr>
          <w:rFonts w:ascii="Pretendard" w:cs="Pretendard" w:eastAsia="Pretendard" w:hAnsi="Pretendard"/>
          <w:b w:val="false"/>
          <w:bCs w:val="false"/>
          <w:color w:val="858585"/>
          <w:sz w:val="22"/>
          <w:szCs w:val="22"/>
        </w:rPr>
        <w:t xml:space="preserve">업계 표준·공공기관·제조사·논문 자료 기반 예상안 (실측 데이터 아님)</w:t>
      </w:r>
    </w:p>
    <w:p>
      <w:r>
        <w:br w:type="page"/>
      </w:r>
    </w:p>
    <w:p>
      <w:pPr>
        <w:spacing w:after="280" w:before="400" w:line="312"/>
        <w:jc w:val="center"/>
      </w:pPr>
      <w:r>
        <w:rPr>
          <w:rFonts w:ascii="Pretendard" w:cs="Pretendard" w:eastAsia="Pretendard" w:hAnsi="Pretendard"/>
          <w:b/>
          <w:bCs/>
          <w:color w:val="222222"/>
          <w:sz w:val="36"/>
          <w:szCs w:val="36"/>
        </w:rPr>
        <w:t xml:space="preserve">목    차</w:t>
      </w:r>
    </w:p>
    <w:p>
      <w:pPr>
        <w:spacing w:after="160" w:before="0" w:line="312"/>
        <w:ind w:left="1200"/>
      </w:pPr>
      <w:r>
        <w:rPr>
          <w:rFonts w:ascii="Pretendard" w:cs="Pretendard" w:eastAsia="Pretendard" w:hAnsi="Pretendard"/>
          <w:b w:val="false"/>
          <w:bCs w:val="false"/>
          <w:color w:val="222222"/>
          <w:sz w:val="26"/>
          <w:szCs w:val="26"/>
        </w:rPr>
        <w:t xml:space="preserve">1. 분석 개요 및 목적</w:t>
      </w:r>
    </w:p>
    <w:p>
      <w:pPr>
        <w:spacing w:after="160" w:before="0" w:line="312"/>
        <w:ind w:left="1200"/>
      </w:pPr>
      <w:r>
        <w:rPr>
          <w:rFonts w:ascii="Pretendard" w:cs="Pretendard" w:eastAsia="Pretendard" w:hAnsi="Pretendard"/>
          <w:b w:val="false"/>
          <w:bCs w:val="false"/>
          <w:color w:val="222222"/>
          <w:sz w:val="26"/>
          <w:szCs w:val="26"/>
        </w:rPr>
        <w:t xml:space="preserve">2. 설비 구성과 동작 원리</w:t>
      </w:r>
    </w:p>
    <w:p>
      <w:pPr>
        <w:spacing w:after="160" w:before="0" w:line="312"/>
        <w:ind w:left="1200"/>
      </w:pPr>
      <w:r>
        <w:rPr>
          <w:rFonts w:ascii="Pretendard" w:cs="Pretendard" w:eastAsia="Pretendard" w:hAnsi="Pretendard"/>
          <w:b w:val="false"/>
          <w:bCs w:val="false"/>
          <w:color w:val="222222"/>
          <w:sz w:val="26"/>
          <w:szCs w:val="26"/>
        </w:rPr>
        <w:t xml:space="preserve">3. 보통 받는 데이터</w:t>
      </w:r>
    </w:p>
    <w:p>
      <w:pPr>
        <w:spacing w:after="160" w:before="0" w:line="312"/>
        <w:ind w:left="1200"/>
      </w:pPr>
      <w:r>
        <w:rPr>
          <w:rFonts w:ascii="Pretendard" w:cs="Pretendard" w:eastAsia="Pretendard" w:hAnsi="Pretendard"/>
          <w:b w:val="false"/>
          <w:bCs w:val="false"/>
          <w:color w:val="222222"/>
          <w:sz w:val="26"/>
          <w:szCs w:val="26"/>
        </w:rPr>
        <w:t xml:space="preserve">4. 수명·노후 판단과 개선 여지</w:t>
      </w:r>
    </w:p>
    <w:p>
      <w:pPr>
        <w:spacing w:after="160" w:before="0" w:line="312"/>
        <w:ind w:left="1200"/>
      </w:pPr>
      <w:r>
        <w:rPr>
          <w:rFonts w:ascii="Pretendard" w:cs="Pretendard" w:eastAsia="Pretendard" w:hAnsi="Pretendard"/>
          <w:b w:val="false"/>
          <w:bCs w:val="false"/>
          <w:color w:val="222222"/>
          <w:sz w:val="26"/>
          <w:szCs w:val="26"/>
        </w:rPr>
        <w:t xml:space="preserve">5. 월·분기 AI 분석 설계</w:t>
      </w:r>
    </w:p>
    <w:p>
      <w:pPr>
        <w:spacing w:after="160" w:before="0" w:line="312"/>
        <w:ind w:left="1200"/>
      </w:pPr>
      <w:r>
        <w:rPr>
          <w:rFonts w:ascii="Pretendard" w:cs="Pretendard" w:eastAsia="Pretendard" w:hAnsi="Pretendard"/>
          <w:b w:val="false"/>
          <w:bCs w:val="false"/>
          <w:color w:val="222222"/>
          <w:sz w:val="26"/>
          <w:szCs w:val="26"/>
        </w:rPr>
        <w:t xml:space="preserve">6. 분석 리포트 예상안</w:t>
      </w:r>
    </w:p>
    <w:p>
      <w:pPr>
        <w:spacing w:after="160" w:before="0" w:line="312"/>
        <w:ind w:left="1200"/>
      </w:pPr>
      <w:r>
        <w:rPr>
          <w:rFonts w:ascii="Pretendard" w:cs="Pretendard" w:eastAsia="Pretendard" w:hAnsi="Pretendard"/>
          <w:b w:val="false"/>
          <w:bCs w:val="false"/>
          <w:color w:val="222222"/>
          <w:sz w:val="26"/>
          <w:szCs w:val="26"/>
        </w:rPr>
        <w:t xml:space="preserve">7. 한계 및 전제</w:t>
      </w:r>
    </w:p>
    <w:p>
      <w:pPr>
        <w:spacing w:after="160" w:before="0" w:line="312"/>
        <w:ind w:left="1200"/>
      </w:pPr>
      <w:r>
        <w:rPr>
          <w:rFonts w:ascii="Pretendard" w:cs="Pretendard" w:eastAsia="Pretendard" w:hAnsi="Pretendard"/>
          <w:b w:val="false"/>
          <w:bCs w:val="false"/>
          <w:color w:val="222222"/>
          <w:sz w:val="26"/>
          <w:szCs w:val="26"/>
        </w:rPr>
        <w:t xml:space="preserve">8. 결론 및 다음 단계</w:t>
      </w:r>
    </w:p>
    <w:p>
      <w:pPr>
        <w:spacing w:after="160" w:before="0" w:line="312"/>
        <w:ind w:left="1200"/>
      </w:pPr>
      <w:r>
        <w:rPr>
          <w:rFonts w:ascii="Pretendard" w:cs="Pretendard" w:eastAsia="Pretendard" w:hAnsi="Pretendard"/>
          <w:b w:val="false"/>
          <w:bCs w:val="false"/>
          <w:color w:val="222222"/>
          <w:sz w:val="26"/>
          <w:szCs w:val="26"/>
        </w:rPr>
        <w:t xml:space="preserve">부록. 주요 출처</w:t>
      </w:r>
    </w:p>
    <w:p>
      <w:r>
        <w:br w:type="page"/>
      </w:r>
    </w:p>
    <w:p>
      <w:pPr>
        <w:sectPr>
          <w:pgSz w:w="12240" w:h="15840" w:orient="portrait"/>
          <w:pgMar w:top="1440" w:right="1584" w:bottom="1440" w:left="1584" w:header="708" w:footer="708" w:gutter="0"/>
          <w:pgNumType/>
          <w:docGrid w:linePitch="360"/>
        </w:sectPr>
      </w:pPr>
    </w:p>
    <w:p>
      <w:pPr>
        <w:pStyle w:val="Heading1"/>
        <w:keepNext/>
        <w:pBdr>
          <w:bottom w:val="single" w:color="4081ED" w:sz="6" w:space="4"/>
        </w:pBdr>
        <w:spacing w:after="160" w:before="40"/>
      </w:pPr>
      <w:r>
        <w:rPr>
          <w:rFonts w:ascii="Pretendard" w:cs="Pretendard" w:eastAsia="Pretendard" w:hAnsi="Pretendard"/>
          <w:b/>
          <w:bCs/>
          <w:color w:val="4081ED"/>
          <w:sz w:val="34"/>
          <w:szCs w:val="34"/>
        </w:rPr>
        <w:t xml:space="preserve">1. 분석 개요 및 목적</w:t>
      </w:r>
    </w:p>
    <w:p>
      <w:pPr>
        <w:spacing w:after="100" w:before="40" w:line="312"/>
      </w:pPr>
      <w:r>
        <w:rPr>
          <w:rFonts w:ascii="Pretendard" w:cs="Pretendard" w:eastAsia="Pretendard" w:hAnsi="Pretendard"/>
          <w:b w:val="false"/>
          <w:bCs w:val="false"/>
          <w:color w:val="222222"/>
          <w:sz w:val="21"/>
          <w:szCs w:val="21"/>
        </w:rPr>
        <w:t xml:space="preserve">본 보고서는 태양광 발전·에너지저장장치(ESS)와 연계형 수소발전(태양광 전력 → PEM 수전해 → 수소 압축·저장 → PEM 연료전지 발전) 설비를 대상으로, </w:t>
      </w:r>
      <w:r>
        <w:rPr>
          <w:rFonts w:ascii="Pretendard" w:cs="Pretendard" w:eastAsia="Pretendard" w:hAnsi="Pretendard"/>
          <w:b/>
          <w:bCs/>
          <w:color w:val="222222"/>
          <w:sz w:val="21"/>
          <w:szCs w:val="21"/>
        </w:rPr>
        <w:t xml:space="preserve">보통 받는 데이터</w:t>
      </w:r>
      <w:r>
        <w:rPr>
          <w:rFonts w:ascii="Pretendard" w:cs="Pretendard" w:eastAsia="Pretendard" w:hAnsi="Pretendard"/>
          <w:b w:val="false"/>
          <w:bCs w:val="false"/>
          <w:color w:val="222222"/>
          <w:sz w:val="21"/>
          <w:szCs w:val="21"/>
        </w:rPr>
        <w:t xml:space="preserve">, 그 데이터로 알 수 있는 </w:t>
      </w:r>
      <w:r>
        <w:rPr>
          <w:rFonts w:ascii="Pretendard" w:cs="Pretendard" w:eastAsia="Pretendard" w:hAnsi="Pretendard"/>
          <w:b/>
          <w:bCs/>
          <w:color w:val="222222"/>
          <w:sz w:val="21"/>
          <w:szCs w:val="21"/>
        </w:rPr>
        <w:t xml:space="preserve">수명과 개선 여지</w:t>
      </w:r>
      <w:r>
        <w:rPr>
          <w:rFonts w:ascii="Pretendard" w:cs="Pretendard" w:eastAsia="Pretendard" w:hAnsi="Pretendard"/>
          <w:b w:val="false"/>
          <w:bCs w:val="false"/>
          <w:color w:val="222222"/>
          <w:sz w:val="21"/>
          <w:szCs w:val="21"/>
        </w:rPr>
        <w:t xml:space="preserve">, </w:t>
      </w:r>
      <w:r>
        <w:rPr>
          <w:rFonts w:ascii="Pretendard" w:cs="Pretendard" w:eastAsia="Pretendard" w:hAnsi="Pretendard"/>
          <w:b/>
          <w:bCs/>
          <w:color w:val="222222"/>
          <w:sz w:val="21"/>
          <w:szCs w:val="21"/>
        </w:rPr>
        <w:t xml:space="preserve">정기 AI 분석과 리포트의 모습</w:t>
      </w:r>
      <w:r>
        <w:rPr>
          <w:rFonts w:ascii="Pretendard" w:cs="Pretendard" w:eastAsia="Pretendard" w:hAnsi="Pretendard"/>
          <w:b w:val="false"/>
          <w:bCs w:val="false"/>
          <w:color w:val="222222"/>
          <w:sz w:val="21"/>
          <w:szCs w:val="21"/>
        </w:rPr>
        <w:t xml:space="preserve">을 정리한 예상안입니다.</w:t>
      </w:r>
    </w:p>
    <w:p>
      <w:pPr>
        <w:keepNext/>
        <w:spacing w:after="80" w:before="200" w:line="312"/>
      </w:pPr>
      <w:r>
        <w:rPr>
          <w:rFonts w:ascii="Pretendard" w:cs="Pretendard" w:eastAsia="Pretendard" w:hAnsi="Pretendard"/>
          <w:b/>
          <w:bCs/>
          <w:color w:val="4081ED"/>
          <w:sz w:val="26"/>
          <w:szCs w:val="26"/>
        </w:rPr>
        <w:t xml:space="preserve">분석 목적</w:t>
      </w:r>
    </w:p>
    <w:p>
      <w:pPr>
        <w:pStyle w:val="ListParagraph"/>
        <w:numPr>
          <w:ilvl w:val="0"/>
          <w:numId w:val="2"/>
        </w:numPr>
        <w:spacing w:after="60" w:before="0" w:line="300"/>
      </w:pPr>
      <w:r>
        <w:rPr>
          <w:rFonts w:ascii="Pretendard" w:cs="Pretendard" w:eastAsia="Pretendard" w:hAnsi="Pretendard"/>
          <w:b/>
          <w:bCs/>
          <w:sz w:val="21"/>
          <w:szCs w:val="21"/>
        </w:rPr>
        <w:t xml:space="preserve">어떤 데이터를 받는가</w:t>
      </w:r>
      <w:r>
        <w:rPr>
          <w:rFonts w:ascii="Pretendard" w:cs="Pretendard" w:eastAsia="Pretendard" w:hAnsi="Pretendard"/>
          <w:sz w:val="21"/>
          <w:szCs w:val="21"/>
        </w:rPr>
        <w:t xml:space="preserve">: 구성품과 동작 방식을 바탕으로 설비별 수집 데이터를 정리합니다.</w:t>
      </w:r>
    </w:p>
    <w:p>
      <w:pPr>
        <w:pStyle w:val="ListParagraph"/>
        <w:numPr>
          <w:ilvl w:val="0"/>
          <w:numId w:val="2"/>
        </w:numPr>
        <w:spacing w:after="60" w:before="0" w:line="300"/>
      </w:pPr>
      <w:r>
        <w:rPr>
          <w:rFonts w:ascii="Pretendard" w:cs="Pretendard" w:eastAsia="Pretendard" w:hAnsi="Pretendard"/>
          <w:b/>
          <w:bCs/>
          <w:sz w:val="21"/>
          <w:szCs w:val="21"/>
        </w:rPr>
        <w:t xml:space="preserve">수명·개선 여지를 어떻게 아는가</w:t>
      </w:r>
      <w:r>
        <w:rPr>
          <w:rFonts w:ascii="Pretendard" w:cs="Pretendard" w:eastAsia="Pretendard" w:hAnsi="Pretendard"/>
          <w:sz w:val="21"/>
          <w:szCs w:val="21"/>
        </w:rPr>
        <w:t xml:space="preserve">: 노후와 개선 여지를 드러내는 신호와 판단 기준을 제시합니다.</w:t>
      </w:r>
    </w:p>
    <w:p>
      <w:pPr>
        <w:pStyle w:val="ListParagraph"/>
        <w:numPr>
          <w:ilvl w:val="0"/>
          <w:numId w:val="2"/>
        </w:numPr>
        <w:spacing w:after="60" w:before="0" w:line="300"/>
      </w:pPr>
      <w:r>
        <w:rPr>
          <w:rFonts w:ascii="Pretendard" w:cs="Pretendard" w:eastAsia="Pretendard" w:hAnsi="Pretendard"/>
          <w:b/>
          <w:bCs/>
          <w:sz w:val="21"/>
          <w:szCs w:val="21"/>
        </w:rPr>
        <w:t xml:space="preserve">월간·분기 AI 분석과 리포트</w:t>
      </w:r>
      <w:r>
        <w:rPr>
          <w:rFonts w:ascii="Pretendard" w:cs="Pretendard" w:eastAsia="Pretendard" w:hAnsi="Pretendard"/>
          <w:sz w:val="21"/>
          <w:szCs w:val="21"/>
        </w:rPr>
        <w:t xml:space="preserve">: 주기별 판정 항목과 발전소별 코칭 리포트 예시를 보여 줍니다.</w:t>
      </w:r>
    </w:p>
    <w:p>
      <w:pPr>
        <w:keepNext/>
        <w:spacing w:after="80" w:before="200" w:line="312"/>
      </w:pPr>
      <w:r>
        <w:rPr>
          <w:rFonts w:ascii="Pretendard" w:cs="Pretendard" w:eastAsia="Pretendard" w:hAnsi="Pretendard"/>
          <w:b/>
          <w:bCs/>
          <w:color w:val="4081ED"/>
          <w:sz w:val="26"/>
          <w:szCs w:val="26"/>
        </w:rPr>
        <w:t xml:space="preserve">배경과 범위</w:t>
      </w:r>
    </w:p>
    <w:p>
      <w:pPr>
        <w:spacing w:after="100" w:before="40" w:line="312"/>
      </w:pPr>
      <w:r>
        <w:rPr>
          <w:rFonts w:ascii="Pretendard" w:cs="Pretendard" w:eastAsia="Pretendard" w:hAnsi="Pretendard"/>
          <w:b w:val="false"/>
          <w:bCs w:val="false"/>
          <w:color w:val="222222"/>
          <w:sz w:val="21"/>
          <w:szCs w:val="21"/>
        </w:rPr>
        <w:t xml:space="preserve">당사는 태양광·ESS 사업에 이어 연계형 수소발전을 시작하며, 발전소별 데이터를 AI로 분석해 유지보수 코칭 리포트를 쓰려 합니다. 그러나 </w:t>
      </w:r>
      <w:r>
        <w:rPr>
          <w:rFonts w:ascii="Pretendard" w:cs="Pretendard" w:eastAsia="Pretendard" w:hAnsi="Pretendard"/>
          <w:b/>
          <w:bCs/>
          <w:color w:val="222222"/>
          <w:sz w:val="21"/>
          <w:szCs w:val="21"/>
        </w:rPr>
        <w:t xml:space="preserve">아직 실제 원시데이터가 없고</w:t>
      </w:r>
      <w:r>
        <w:rPr>
          <w:rFonts w:ascii="Pretendard" w:cs="Pretendard" w:eastAsia="Pretendard" w:hAnsi="Pretendard"/>
          <w:b w:val="false"/>
          <w:bCs w:val="false"/>
          <w:color w:val="222222"/>
          <w:sz w:val="21"/>
          <w:szCs w:val="21"/>
        </w:rPr>
        <w:t xml:space="preserve"> 수소 설비 사양도 미정입니다. 그래서 이 문서는 무엇을 받아야 하고 받으면 무엇을 알 수 있는지를 공개 자료로 먼저 정한 </w:t>
      </w:r>
      <w:r>
        <w:rPr>
          <w:rFonts w:ascii="Pretendard" w:cs="Pretendard" w:eastAsia="Pretendard" w:hAnsi="Pretendard"/>
          <w:b/>
          <w:bCs/>
          <w:color w:val="222222"/>
          <w:sz w:val="21"/>
          <w:szCs w:val="21"/>
        </w:rPr>
        <w:t xml:space="preserve">예상안</w:t>
      </w:r>
      <w:r>
        <w:rPr>
          <w:rFonts w:ascii="Pretendard" w:cs="Pretendard" w:eastAsia="Pretendard" w:hAnsi="Pretendard"/>
          <w:b w:val="false"/>
          <w:bCs w:val="false"/>
          <w:color w:val="222222"/>
          <w:sz w:val="21"/>
          <w:szCs w:val="21"/>
        </w:rPr>
        <w:t xml:space="preserve">입니다. 제조사 데이터는 계약에 적어야 확보되므로 계약 전에 목록을 정하는 것이 실익입니다.</w:t>
      </w:r>
    </w:p>
    <w:p>
      <w:pPr>
        <w:keepNext/>
        <w:spacing w:after="80" w:before="120" w:line="312"/>
      </w:pPr>
      <w:r>
        <w:rPr>
          <w:rFonts w:ascii="Pretendard" w:cs="Pretendard" w:eastAsia="Pretendard" w:hAnsi="Pretendard"/>
          <w:b/>
          <w:bCs/>
          <w:color w:val="4081ED"/>
          <w:sz w:val="20"/>
          <w:szCs w:val="20"/>
        </w:rPr>
        <w:t xml:space="preserve">[표 1] 분석 범위와 기준 설비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55"/>
        <w:gridCol w:w="3369"/>
        <w:gridCol w:w="2073"/>
        <w:gridCol w:w="2075"/>
      </w:tblGrid>
      <w:tr>
        <w:trPr>
          <w:tblHeader/>
        </w:trPr>
        <w:tc>
          <w:tcPr>
            <w:tcW w:type="dxa" w:w="1555"/>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분야</w:t>
            </w:r>
          </w:p>
        </w:tc>
        <w:tc>
          <w:tcPr>
            <w:tcW w:type="dxa" w:w="3369"/>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대상 설비</w:t>
            </w:r>
          </w:p>
        </w:tc>
        <w:tc>
          <w:tcPr>
            <w:tcW w:type="dxa" w:w="2073"/>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기준 기술</w:t>
            </w:r>
          </w:p>
        </w:tc>
        <w:tc>
          <w:tcPr>
            <w:tcW w:type="dxa" w:w="2075"/>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주요 근거</w:t>
            </w:r>
          </w:p>
        </w:tc>
      </w:tr>
      <w:tr>
        <w:tc>
          <w:tcPr>
            <w:tcW w:type="dxa" w:w="155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태양광·ESS·계통</w:t>
            </w:r>
          </w:p>
        </w:tc>
        <w:tc>
          <w:tcPr>
            <w:tcW w:type="dxa" w:w="336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모듈·인버터·변압기·계량, ESS 셀·BMS·PCS·공조</w:t>
            </w:r>
          </w:p>
        </w:tc>
        <w:tc>
          <w:tcPr>
            <w:tcW w:type="dxa" w:w="20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결정질 실리콘, LFP 배터리</w:t>
            </w:r>
          </w:p>
        </w:tc>
        <w:tc>
          <w:tcPr>
            <w:tcW w:type="dxa" w:w="207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NREL, IEA PVPS, PNNL</w:t>
            </w:r>
          </w:p>
        </w:tc>
      </w:tr>
      <w:tr>
        <w:tc>
          <w:tcPr>
            <w:tcW w:type="dxa" w:w="155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PEM 전해조</w:t>
            </w:r>
          </w:p>
        </w:tc>
        <w:tc>
          <w:tcPr>
            <w:tcW w:type="dxa" w:w="336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스택, 정류기, 순수·정제설비, 가스 분석</w:t>
            </w:r>
          </w:p>
        </w:tc>
        <w:tc>
          <w:tcPr>
            <w:tcW w:type="dxa" w:w="20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방식</w:t>
            </w:r>
          </w:p>
          <w:p>
            <w:pPr>
              <w:spacing w:after="0" w:before="0" w:line="264"/>
              <w:jc w:val="left"/>
            </w:pPr>
            <w:r>
              <w:rPr>
                <w:rFonts w:ascii="Pretendard" w:cs="Pretendard" w:eastAsia="Pretendard" w:hAnsi="Pretendard"/>
                <w:b w:val="false"/>
                <w:bCs w:val="false"/>
                <w:color w:val="222222"/>
                <w:sz w:val="18"/>
                <w:szCs w:val="18"/>
              </w:rPr>
              <w:t xml:space="preserve">(알칼라인은 참고)</w:t>
            </w:r>
          </w:p>
        </w:tc>
        <w:tc>
          <w:tcPr>
            <w:tcW w:type="dxa" w:w="207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DOE, IRENA, KGS AH271</w:t>
            </w:r>
          </w:p>
        </w:tc>
      </w:tr>
      <w:tr>
        <w:tc>
          <w:tcPr>
            <w:tcW w:type="dxa" w:w="155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수소 압축·저장·안전</w:t>
            </w:r>
          </w:p>
        </w:tc>
        <w:tc>
          <w:tcPr>
            <w:tcW w:type="dxa" w:w="336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압축기, 고압 저장용기·밸브, 가스검지기, 비상차단</w:t>
            </w:r>
          </w:p>
        </w:tc>
        <w:tc>
          <w:tcPr>
            <w:tcW w:type="dxa" w:w="20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기체 압축 저장</w:t>
            </w:r>
          </w:p>
        </w:tc>
        <w:tc>
          <w:tcPr>
            <w:tcW w:type="dxa" w:w="207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KGS FU671, 고압가스법</w:t>
            </w:r>
          </w:p>
        </w:tc>
      </w:tr>
      <w:tr>
        <w:tc>
          <w:tcPr>
            <w:tcW w:type="dxa" w:w="155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PEM 연료전지</w:t>
            </w:r>
          </w:p>
        </w:tc>
        <w:tc>
          <w:tcPr>
            <w:tcW w:type="dxa" w:w="336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스택, 공기·가습·냉각, 수소 재순환·퍼지, 전력변환</w:t>
            </w:r>
          </w:p>
        </w:tc>
        <w:tc>
          <w:tcPr>
            <w:tcW w:type="dxa" w:w="20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순수소 정치형 PEM</w:t>
            </w:r>
          </w:p>
        </w:tc>
        <w:tc>
          <w:tcPr>
            <w:tcW w:type="dxa" w:w="207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DOE, IEA AFC, 수소법</w:t>
            </w:r>
          </w:p>
        </w:tc>
      </w:tr>
    </w:tbl>
    <w:p>
      <w:pPr>
        <w:spacing w:after="160" w:before="60" w:line="312"/>
      </w:pPr>
      <w:r>
        <w:rPr>
          <w:rFonts w:ascii="Pretendard" w:cs="Pretendard" w:eastAsia="Pretendard" w:hAnsi="Pretendard"/>
          <w:b w:val="false"/>
          <w:bCs w:val="false"/>
          <w:color w:val="858585"/>
          <w:sz w:val="18"/>
          <w:szCs w:val="18"/>
        </w:rPr>
        <w:t xml:space="preserve">※ 연계 운영에 필요한 EMS·계량·데이터 수집·보안은 모든 분야에 공통으로 포함합니다.</w:t>
      </w:r>
    </w:p>
    <w:p>
      <w:pPr>
        <w:keepNext/>
        <w:spacing w:after="80" w:before="200" w:line="312"/>
      </w:pPr>
      <w:r>
        <w:rPr>
          <w:rFonts w:ascii="Pretendard" w:cs="Pretendard" w:eastAsia="Pretendard" w:hAnsi="Pretendard"/>
          <w:b/>
          <w:bCs/>
          <w:color w:val="4081ED"/>
          <w:sz w:val="26"/>
          <w:szCs w:val="26"/>
        </w:rPr>
        <w:t xml:space="preserve">작성 방법</w:t>
      </w:r>
    </w:p>
    <w:p>
      <w:pPr>
        <w:spacing w:after="100" w:before="40" w:line="312"/>
      </w:pPr>
      <w:r>
        <w:rPr>
          <w:rFonts w:ascii="Pretendard" w:cs="Pretendard" w:eastAsia="Pretendard" w:hAnsi="Pretendard"/>
          <w:b w:val="false"/>
          <w:bCs w:val="false"/>
          <w:color w:val="222222"/>
          <w:sz w:val="21"/>
          <w:szCs w:val="21"/>
        </w:rPr>
        <w:t xml:space="preserve">설비 6개·AI 3개 분야 심층 조사, 설계수명·분석 주기 조사, 데이터 접근권·보안 보강 조사를 했습니다. 근거는 국립연구소·공공기관(NREL, PNNL, DOE, IEA PVPS, IRENA, EPRI), 국제표준, 국내 법령·KGS 코드, 제조사 자료, 논문이며 출처는 485행입니다(동봉 엑셀 ‘출처’ 시트). 심층 조사의 핵심 주장 315건은 원문과 직접 대조해 검증 231건, 부분 확인 72건, 미확인 7건, 반박 5건으로 판정했습니다.</w:t>
      </w:r>
    </w:p>
    <w:p>
      <w:pPr>
        <w:keepNext/>
        <w:spacing w:after="0" w:before="120"/>
        <w:jc w:val="center"/>
      </w:pPr>
      <w:r>
        <w:drawing>
          <wp:inline distT="0" distB="0" distL="0" distR="0">
            <wp:extent cx="2924175" cy="1819275"/>
            <wp:effectExtent t="0" r="0" b="0" l="0"/>
            <wp:docPr id="1" name="verify.png" descr="주요 주장 315건의 출처 대조 결과" title="주요 주장 315건의 출처 대조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1819275"/>
                    </a:xfrm>
                    <a:prstGeom prst="rect">
                      <a:avLst/>
                    </a:prstGeom>
                  </pic:spPr>
                </pic:pic>
              </a:graphicData>
            </a:graphic>
          </wp:inline>
        </w:drawing>
      </w:r>
    </w:p>
    <w:p>
      <w:pPr>
        <w:spacing w:after="160" w:before="40" w:line="312"/>
        <w:jc w:val="center"/>
      </w:pPr>
      <w:r>
        <w:rPr>
          <w:rFonts w:ascii="Pretendard" w:cs="Pretendard" w:eastAsia="Pretendard" w:hAnsi="Pretendard"/>
          <w:b w:val="false"/>
          <w:bCs w:val="false"/>
          <w:color w:val="858585"/>
          <w:sz w:val="19"/>
          <w:szCs w:val="19"/>
        </w:rPr>
        <w:t xml:space="preserve">[그림 1] 주요 주장 315건의 출처 대조 결과</w:t>
      </w:r>
    </w:p>
    <w:p>
      <w:pPr>
        <w:spacing w:after="100" w:before="40" w:line="312"/>
      </w:pPr>
      <w:r>
        <w:rPr>
          <w:rFonts w:ascii="Pretendard" w:cs="Pretendard" w:eastAsia="Pretendard" w:hAnsi="Pretendard"/>
          <w:b w:val="false"/>
          <w:bCs w:val="false"/>
          <w:color w:val="222222"/>
          <w:sz w:val="21"/>
          <w:szCs w:val="21"/>
        </w:rPr>
        <w:t xml:space="preserve">반박은 원문 기준 문장으로 바꾸거나 뺐고, 부분 확인은 원문 조건(대상·기간·실험 여부)을 붙였으며, 미확인 수치는 쓰지 않았습니다. 예를 들어 수소 압축기 토출온도 한계는 원문 기준인 120 °C로 고쳤습니다(API 618 6판, EFRC 검토). 주기·수명·보강 조사는 조사 단계에서 출처 문서를 확인했으나(IEC 61724-1·Pei 2008 등 일부는 2차 자료) 315건 대조 대상은 아닙니다.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이 문서의 성격: 예상안</w:t>
            </w:r>
          </w:p>
          <w:p>
            <w:pPr>
              <w:spacing w:after="40" w:before="0" w:line="312"/>
            </w:pPr>
            <w:r>
              <w:rPr>
                <w:rFonts w:ascii="Pretendard" w:cs="Pretendard" w:eastAsia="Pretendard" w:hAnsi="Pretendard"/>
                <w:b w:val="false"/>
                <w:bCs w:val="false"/>
                <w:color w:val="222222"/>
                <w:sz w:val="21"/>
                <w:szCs w:val="21"/>
              </w:rPr>
              <w:t xml:space="preserve">데이터 목록·수명 수치·리포트 예시(가상 사이트 A·B 포함)는 실측이 아닌 예상안입니다. 계산값은 ‘(계산)’, 가상 값은 ‘(예시)’, 원문 미확인 값은 ‘추정’으로 적습니다.</w:t>
            </w:r>
          </w:p>
          <w:p>
            <w:pPr>
              <w:spacing w:after="40" w:before="0" w:line="312"/>
            </w:pPr>
            <w:r>
              <w:rPr>
                <w:rFonts w:ascii="Pretendard" w:cs="Pretendard" w:eastAsia="Pretendard" w:hAnsi="Pretendard"/>
                <w:b w:val="false"/>
                <w:bCs w:val="false"/>
                <w:color w:val="222222"/>
                <w:sz w:val="21"/>
                <w:szCs w:val="21"/>
              </w:rPr>
              <w:t xml:space="preserve">설비 사양과 제조사 데이터 제공 범위가 정해지면 갱신합니다. 전체 목록은 동봉 엑셀(‘태양광·수소 데이터수집·AI분석 예상안.xlsx’)에 있습니다.</w:t>
            </w:r>
          </w:p>
        </w:tc>
      </w:tr>
    </w:tbl>
    <w:p>
      <w:pPr>
        <w:spacing w:after="80" w:before="40" w:line="312"/>
      </w:pPr>
      <w:r>
        <w:rPr>
          <w:rFonts w:ascii="Pretendard" w:cs="Pretendard" w:eastAsia="Pretendard" w:hAnsi="Pretendard"/>
          <w:b w:val="false"/>
          <w:bCs w:val="false"/>
          <w:color w:val="222222"/>
          <w:sz w:val="21"/>
          <w:szCs w:val="21"/>
        </w:rPr>
        <w:t xml:space="preserve"/>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2. 설비 구성과 동작 원리</w:t>
      </w:r>
    </w:p>
    <w:p>
      <w:pPr>
        <w:spacing w:after="100" w:before="40" w:line="312"/>
      </w:pPr>
      <w:r>
        <w:rPr>
          <w:rFonts w:ascii="Pretendard" w:cs="Pretendard" w:eastAsia="Pretendard" w:hAnsi="Pretendard"/>
          <w:b w:val="false"/>
          <w:bCs w:val="false"/>
          <w:color w:val="222222"/>
          <w:sz w:val="21"/>
          <w:szCs w:val="21"/>
        </w:rPr>
        <w:t xml:space="preserve">연계형 발전소는 햇빛으로 만든 전기를 필요한 때 쓰려고 형태를 바꿔 보관합니다. 태양광 전기는 인버터를 거쳐 계통 판매, ESS 저장(몇 시간), 전해조 수소 생산으로 나뉘고, 수소는 압축·저장했다가(며칠~몇 주) 연료전지로 다시 발전합니다. 배분은 에너지관리시스템(EMS)이 태양광 변동·전해조 최소부하·ESS 충전율·저장 압력·출력제어 지령·가격을 보고 정합니다. 전기→수소→전기 왕복효율은 교류 기준 31~32%로 리튬이온 ESS의 82.59%보다 낮으므로(PNNL 2022, 저장 손실 제외), 변환 단계마다 전기와 수소를 계량해 가치를 증명해야 합니다.</w:t>
      </w:r>
    </w:p>
    <w:p>
      <w:pPr>
        <w:spacing w:after="100" w:before="40" w:line="312"/>
      </w:pPr>
      <w:r>
        <w:rPr>
          <w:rFonts w:ascii="Pretendard" w:cs="Pretendard" w:eastAsia="Pretendard" w:hAnsi="Pretendard"/>
          <w:b/>
          <w:bCs/>
          <w:color w:val="222222"/>
          <w:sz w:val="21"/>
          <w:szCs w:val="21"/>
        </w:rPr>
        <w:t xml:space="preserve">태양광 → 인버터 → ① 계통 판매  ② ESS 충전·방전  ③ PEM 전해조 → 압축기 → 고압 저장 → PEM 연료전지 → 계통</w:t>
      </w:r>
    </w:p>
    <w:p>
      <w:pPr>
        <w:keepNext/>
        <w:spacing w:after="80" w:before="120" w:line="312"/>
      </w:pPr>
      <w:r>
        <w:rPr>
          <w:rFonts w:ascii="Pretendard" w:cs="Pretendard" w:eastAsia="Pretendard" w:hAnsi="Pretendard"/>
          <w:b/>
          <w:bCs/>
          <w:color w:val="4081ED"/>
          <w:sz w:val="20"/>
          <w:szCs w:val="20"/>
        </w:rPr>
        <w:t xml:space="preserve">[표 2] 태양광·ESS 주요 구성품</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34"/>
        <w:gridCol w:w="2134"/>
        <w:gridCol w:w="2668"/>
        <w:gridCol w:w="2936"/>
      </w:tblGrid>
      <w:tr>
        <w:trPr>
          <w:tblHeader/>
        </w:trPr>
        <w:tc>
          <w:tcPr>
            <w:tcW w:type="dxa" w:w="133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구성품</w:t>
            </w:r>
          </w:p>
        </w:tc>
        <w:tc>
          <w:tcPr>
            <w:tcW w:type="dxa" w:w="213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하는 일</w:t>
            </w:r>
          </w:p>
        </w:tc>
        <w:tc>
          <w:tcPr>
            <w:tcW w:type="dxa" w:w="2668"/>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동작·제어 방식(핵심만)</w:t>
            </w:r>
          </w:p>
        </w:tc>
        <w:tc>
          <w:tcPr>
            <w:tcW w:type="dxa" w:w="2936"/>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노후 시 데이터에 보이는 신호</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셀·모듈</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빛을 직류 전기로 변환</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음영 시 바이패스 다이오드가 전류 우회</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온도보정 성능비(PR) 완만한 하락, 다이오드 단락 시 전압 계단 하락</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스트링·접속반</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모듈을 묶어 인버터로 전달</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채널의 스트링끼리 비교 기준</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특정 스트링 전류 저하·0, 함 내부 온도 상승</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인버터</w:t>
            </w:r>
          </w:p>
          <w:p>
            <w:pPr>
              <w:spacing w:after="0" w:before="0" w:line="264"/>
              <w:jc w:val="center"/>
            </w:pPr>
            <w:r>
              <w:rPr>
                <w:rFonts w:ascii="Pretendard" w:cs="Pretendard" w:eastAsia="Pretendard" w:hAnsi="Pretendard"/>
                <w:b w:val="false"/>
                <w:bCs w:val="false"/>
                <w:color w:val="222222"/>
                <w:sz w:val="18"/>
                <w:szCs w:val="18"/>
              </w:rPr>
              <w:t xml:space="preserve">(MPPT·보호)</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최대전력점 추종(MPPT), 직류→교류, 보호 차단</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계통 이상 시 분리, 정상 5분 뒤 재병입</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부하·외기에서 방열판 온도 상승·효율 저하</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변압기·계통</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22.9 kV 승압·연계, 거래량 확정</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보호계전기 차단, 15분 단위 계량</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부하에서 유온 상승, 계량 차이 확대</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ESS 셀·BMS</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전력 저장, 배터리관리시스템(BMS)이 감시·차단</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경고→출력 제한→차단, 충전율 상한 운영</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충전량(Ah) 감소, 셀 전압 편차·절연저항 이상</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PCS·공조</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양방향 전력변환(PCS), 온·습도 유지</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BMS 한계 안에서 EMS 지령 이행</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변환효율 저하, 공조 전력·셀 온도 상승</w:t>
            </w:r>
          </w:p>
        </w:tc>
      </w:tr>
    </w:tbl>
    <w:p>
      <w:pPr>
        <w:spacing w:after="160" w:before="60" w:line="312"/>
      </w:pPr>
      <w:r>
        <w:rPr>
          <w:rFonts w:ascii="Pretendard" w:cs="Pretendard" w:eastAsia="Pretendard" w:hAnsi="Pretendard"/>
          <w:b w:val="false"/>
          <w:bCs w:val="false"/>
          <w:color w:val="858585"/>
          <w:sz w:val="18"/>
          <w:szCs w:val="18"/>
        </w:rPr>
        <w:t xml:space="preserve">※ 22.9 kV·재병입 5분: 한전 배전계통 연계 기술기준. 15분: 한전 AMI. 충전율 상한(기존 설비 옥내 80%·옥외 90%): 정책브리핑 2020. 원인 분류된 ESS 고장 26건 중 셀·모듈 직접 원인은 3건(11%)입니다(EPRI 2024).</w:t>
      </w:r>
    </w:p>
    <w:p>
      <w:pPr>
        <w:keepNext/>
        <w:spacing w:after="80" w:before="120" w:line="312"/>
      </w:pPr>
      <w:r>
        <w:rPr>
          <w:rFonts w:ascii="Pretendard" w:cs="Pretendard" w:eastAsia="Pretendard" w:hAnsi="Pretendard"/>
          <w:b/>
          <w:bCs/>
          <w:color w:val="4081ED"/>
          <w:sz w:val="20"/>
          <w:szCs w:val="20"/>
        </w:rPr>
        <w:t xml:space="preserve">[표 3] 수소 설비 주요 구성품</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34"/>
        <w:gridCol w:w="2134"/>
        <w:gridCol w:w="2668"/>
        <w:gridCol w:w="2936"/>
      </w:tblGrid>
      <w:tr>
        <w:trPr>
          <w:tblHeader/>
        </w:trPr>
        <w:tc>
          <w:tcPr>
            <w:tcW w:type="dxa" w:w="133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구성품</w:t>
            </w:r>
          </w:p>
        </w:tc>
        <w:tc>
          <w:tcPr>
            <w:tcW w:type="dxa" w:w="213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하는 일</w:t>
            </w:r>
          </w:p>
        </w:tc>
        <w:tc>
          <w:tcPr>
            <w:tcW w:type="dxa" w:w="2668"/>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동작·제어 방식(핵심만)</w:t>
            </w:r>
          </w:p>
        </w:tc>
        <w:tc>
          <w:tcPr>
            <w:tcW w:type="dxa" w:w="2936"/>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노후 시 데이터에 보이는 신호</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PEM 스택</w:t>
            </w:r>
          </w:p>
          <w:p>
            <w:pPr>
              <w:spacing w:after="0" w:before="0" w:line="264"/>
              <w:jc w:val="center"/>
            </w:pPr>
            <w:r>
              <w:rPr>
                <w:rFonts w:ascii="Pretendard" w:cs="Pretendard" w:eastAsia="Pretendard" w:hAnsi="Pretendard"/>
                <w:b w:val="false"/>
                <w:bCs w:val="false"/>
                <w:color w:val="222222"/>
                <w:sz w:val="18"/>
                <w:szCs w:val="18"/>
              </w:rPr>
              <w:t xml:space="preserve">(전해조)</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직류로 물을 수소·산소로 분해</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정류기 전류가 운전점 결정, 산소 중 수소 2% 초과 시 정지</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조건에서 셀 전압 상승(수명말 +10%), 셀 편차</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정류기</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교류를 스택용 대전류 직류로 변환</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전력 설정값을 전류 지령으로 제어</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직류/교류 전력비 하락, 저부하 역률 저하</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순수설비</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이온 없는 물 공급</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출구 전도도로 경보·차단</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전도도 상승 가속, 수지 처리량 감소</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기액분리·정제·건조</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가스·물 분리, 산소·수분 제거</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수위·압력 제어, 흡착탑 교대 건조</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제품 산소·이슬점 상승</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압축기</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수소를 저장 압력까지 압축</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저장압력으로 기동·정지, 흡입 산소 2 vol% 이상 압축 금지</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압력비에서 kWh/kg 증가, 토출온도 상승</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고압 저장용기·밸브</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재고 보관, 감압·차단</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과압 시 인입 차단, 안전밸브가 최종 방호</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무유동 구간 질량 감소(누설), 밸브 작동 지연</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가스검지기</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누출 발견, 비상차단 신호</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폭발하한계 1/4 이하에서 경보</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배경값 드리프트, 값 고착</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PEM 연료전지 스택</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수소·공기로 전기·열 생산</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전압 상한 유지, 저전압 셀 발생 시 감발</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기준전류 전압 하락, 같은 셀 최저전압 반복</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공기 블로워·가습·냉각</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산소 공급, 습도·온도 유지</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전류보다 공기를 먼저 올리는 선행 제어</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회전수에서 유량 감소, 냉각수 전도도 상승</w:t>
            </w:r>
          </w:p>
        </w:tc>
      </w:tr>
      <w:tr>
        <w:tc>
          <w:tcPr>
            <w:tcW w:type="dxa" w:w="13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수소 재순환·퍼지</w:t>
            </w:r>
          </w:p>
        </w:tc>
        <w:tc>
          <w:tcPr>
            <w:tcW w:type="dxa" w:w="21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남은 수소 재사용, 질소·물 배출</w:t>
            </w:r>
          </w:p>
        </w:tc>
        <w:tc>
          <w:tcPr>
            <w:tcW w:type="dxa" w:w="266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전압 강하 기준으로 퍼지</w:t>
            </w:r>
          </w:p>
        </w:tc>
        <w:tc>
          <w:tcPr>
            <w:tcW w:type="dxa" w:w="293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퍼지 간격 단축, 퍼지 후 회복량 감소</w:t>
            </w:r>
          </w:p>
        </w:tc>
      </w:tr>
    </w:tbl>
    <w:p>
      <w:pPr>
        <w:spacing w:after="160" w:before="60" w:line="312"/>
      </w:pPr>
      <w:r>
        <w:rPr>
          <w:rFonts w:ascii="Pretendard" w:cs="Pretendard" w:eastAsia="Pretendard" w:hAnsi="Pretendard"/>
          <w:b w:val="false"/>
          <w:bCs w:val="false"/>
          <w:color w:val="858585"/>
          <w:sz w:val="18"/>
          <w:szCs w:val="18"/>
        </w:rPr>
        <w:t xml:space="preserve">※ 2% 정지: KGS AH271. 2 vol% 압축 금지·경보농도: KGS FU671. 수명말 +10% 전압: DOE PEM 목표. 동작 설명: IRENA 2020, EIGA Doc 246/23. 설정값은 제조사별로 다릅니다.</w:t>
      </w:r>
    </w:p>
    <w:p>
      <w:pPr>
        <w:keepNext/>
        <w:spacing w:after="80" w:before="200" w:line="312"/>
      </w:pPr>
      <w:r>
        <w:rPr>
          <w:rFonts w:ascii="Pretendard" w:cs="Pretendard" w:eastAsia="Pretendard" w:hAnsi="Pretendard"/>
          <w:b/>
          <w:bCs/>
          <w:color w:val="4081ED"/>
          <w:sz w:val="26"/>
          <w:szCs w:val="26"/>
        </w:rPr>
        <w:t xml:space="preserve">운전 모드: 데이터를 읽을 때 주의할 점</w:t>
      </w:r>
    </w:p>
    <w:p>
      <w:pPr>
        <w:pStyle w:val="ListParagraph"/>
        <w:numPr>
          <w:ilvl w:val="0"/>
          <w:numId w:val="3"/>
        </w:numPr>
        <w:spacing w:after="60" w:before="0" w:line="300"/>
      </w:pPr>
      <w:r>
        <w:rPr>
          <w:rFonts w:ascii="Pretendard" w:cs="Pretendard" w:eastAsia="Pretendard" w:hAnsi="Pretendard"/>
          <w:b/>
          <w:bCs/>
          <w:sz w:val="21"/>
          <w:szCs w:val="21"/>
        </w:rPr>
        <w:t xml:space="preserve">기동·정지</w:t>
      </w:r>
      <w:r>
        <w:rPr>
          <w:rFonts w:ascii="Pretendard" w:cs="Pretendard" w:eastAsia="Pretendard" w:hAnsi="Pretendard"/>
          <w:sz w:val="21"/>
          <w:szCs w:val="21"/>
        </w:rPr>
        <w:t xml:space="preserve">: 기동 직후는 전압·순도가 불안정해 판정에서 빼고 횟수만 셉니다(PEM 전해조 냉간 기동 20분 미만, IRENA 2020 표 6).</w:t>
      </w:r>
    </w:p>
    <w:p>
      <w:pPr>
        <w:pStyle w:val="ListParagraph"/>
        <w:numPr>
          <w:ilvl w:val="0"/>
          <w:numId w:val="3"/>
        </w:numPr>
        <w:spacing w:after="60" w:before="0" w:line="300"/>
      </w:pPr>
      <w:r>
        <w:rPr>
          <w:rFonts w:ascii="Pretendard" w:cs="Pretendard" w:eastAsia="Pretendard" w:hAnsi="Pretendard"/>
          <w:b/>
          <w:bCs/>
          <w:sz w:val="21"/>
          <w:szCs w:val="21"/>
        </w:rPr>
        <w:t xml:space="preserve">대기</w:t>
      </w:r>
      <w:r>
        <w:rPr>
          <w:rFonts w:ascii="Pretendard" w:cs="Pretendard" w:eastAsia="Pretendard" w:hAnsi="Pretendard"/>
          <w:sz w:val="21"/>
          <w:szCs w:val="21"/>
        </w:rPr>
        <w:t xml:space="preserve">: 개방회로전압(OCV) 대기를 포함한 부하 사이클 718회 뒤 셀 고주파저항(HFR)이 약 1.6배가 됐습니다(Weiß 2019, 실험실 셀). 대기시간을 따로 셉니다.</w:t>
      </w:r>
    </w:p>
    <w:p>
      <w:pPr>
        <w:pStyle w:val="ListParagraph"/>
        <w:numPr>
          <w:ilvl w:val="0"/>
          <w:numId w:val="3"/>
        </w:numPr>
        <w:spacing w:after="60" w:before="0" w:line="300"/>
      </w:pPr>
      <w:r>
        <w:rPr>
          <w:rFonts w:ascii="Pretendard" w:cs="Pretendard" w:eastAsia="Pretendard" w:hAnsi="Pretendard"/>
          <w:b/>
          <w:bCs/>
          <w:sz w:val="21"/>
          <w:szCs w:val="21"/>
        </w:rPr>
        <w:t xml:space="preserve">부분부하·출력제어</w:t>
      </w:r>
      <w:r>
        <w:rPr>
          <w:rFonts w:ascii="Pretendard" w:cs="Pretendard" w:eastAsia="Pretendard" w:hAnsi="Pretendard"/>
          <w:sz w:val="21"/>
          <w:szCs w:val="21"/>
        </w:rPr>
        <w:t xml:space="preserve">: 전해조 저부하는 효율·순도가 나빠 부하 구간별로 비교하고(EIGA Doc 246/23), 출력제어·클리핑 구간은 고장에서 뺍니다.</w:t>
      </w:r>
    </w:p>
    <w:p>
      <w:pPr>
        <w:pStyle w:val="ListParagraph"/>
        <w:numPr>
          <w:ilvl w:val="0"/>
          <w:numId w:val="3"/>
        </w:numPr>
        <w:spacing w:after="60" w:before="0" w:line="300"/>
      </w:pPr>
      <w:r>
        <w:rPr>
          <w:rFonts w:ascii="Pretendard" w:cs="Pretendard" w:eastAsia="Pretendard" w:hAnsi="Pretendard"/>
          <w:b/>
          <w:bCs/>
          <w:sz w:val="21"/>
          <w:szCs w:val="21"/>
        </w:rPr>
        <w:t xml:space="preserve">ESS 완충 후 대기</w:t>
      </w:r>
      <w:r>
        <w:rPr>
          <w:rFonts w:ascii="Pretendard" w:cs="Pretendard" w:eastAsia="Pretendard" w:hAnsi="Pretendard"/>
          <w:sz w:val="21"/>
          <w:szCs w:val="21"/>
        </w:rPr>
        <w:t xml:space="preserve">: 2021년~2024년 6월 국내 ESS 화재 25건 중 23건이 제한 충전율 이상 완충 후 대기 중에 났습니다(한국전기안전공사 국감자료 2024).</w:t>
      </w:r>
    </w:p>
    <w:p>
      <w:pPr>
        <w:pStyle w:val="ListParagraph"/>
        <w:numPr>
          <w:ilvl w:val="0"/>
          <w:numId w:val="3"/>
        </w:numPr>
        <w:spacing w:after="60" w:before="0" w:line="300"/>
      </w:pPr>
      <w:r>
        <w:rPr>
          <w:rFonts w:ascii="Pretendard" w:cs="Pretendard" w:eastAsia="Pretendard" w:hAnsi="Pretendard"/>
          <w:b/>
          <w:bCs/>
          <w:sz w:val="21"/>
          <w:szCs w:val="21"/>
        </w:rPr>
        <w:t xml:space="preserve">연료전지 부하변동·기동정지</w:t>
      </w:r>
      <w:r>
        <w:rPr>
          <w:rFonts w:ascii="Pretendard" w:cs="Pretendard" w:eastAsia="Pretendard" w:hAnsi="Pretendard"/>
          <w:sz w:val="21"/>
          <w:szCs w:val="21"/>
        </w:rPr>
        <w:t xml:space="preserve">: 차량용 연구에서 성능 저하 기여는 부하변동 약 57%, 기동정지 약 33%였습니다(Pei 2008, 2차 인용). 횟수를 반드시 셉니다.</w:t>
      </w:r>
    </w:p>
    <w:p>
      <w:pPr>
        <w:pStyle w:val="ListParagraph"/>
        <w:numPr>
          <w:ilvl w:val="0"/>
          <w:numId w:val="3"/>
        </w:numPr>
        <w:spacing w:after="60" w:before="0" w:line="300"/>
      </w:pPr>
      <w:r>
        <w:rPr>
          <w:rFonts w:ascii="Pretendard" w:cs="Pretendard" w:eastAsia="Pretendard" w:hAnsi="Pretendard"/>
          <w:b/>
          <w:bCs/>
          <w:sz w:val="21"/>
          <w:szCs w:val="21"/>
        </w:rPr>
        <w:t xml:space="preserve">정지유지·비상정지·시운전</w:t>
      </w:r>
      <w:r>
        <w:rPr>
          <w:rFonts w:ascii="Pretendard" w:cs="Pretendard" w:eastAsia="Pretendard" w:hAnsi="Pretendard"/>
          <w:sz w:val="21"/>
          <w:szCs w:val="21"/>
        </w:rPr>
        <w:t xml:space="preserve">: 누설은 온도가 안정된 무유동 구간에서만 판정하고, 비상정지 구간은 분석에서 빼며, 전해조 기준점은 초기 1,000 h 이후에 잡습니다(Clean Hydrogen JU AST 프로토콜).</w:t>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3. 보통 받는 데이터</w:t>
      </w:r>
    </w:p>
    <w:p>
      <w:pPr>
        <w:spacing w:after="100" w:before="40" w:line="312"/>
      </w:pPr>
      <w:r>
        <w:rPr>
          <w:rFonts w:ascii="Pretendard" w:cs="Pretendard" w:eastAsia="Pretendard" w:hAnsi="Pretendard"/>
          <w:b w:val="false"/>
          <w:bCs w:val="false"/>
          <w:color w:val="222222"/>
          <w:sz w:val="21"/>
          <w:szCs w:val="21"/>
        </w:rPr>
        <w:t xml:space="preserve">수명과 개선 여지를 판단하려면 계측값 외에도 성격이 다른 일곱 층의 데이터를 함께 받아야 합니다.</w:t>
      </w:r>
    </w:p>
    <w:p>
      <w:pPr>
        <w:pStyle w:val="ListParagraph"/>
        <w:numPr>
          <w:ilvl w:val="0"/>
          <w:numId w:val="3"/>
        </w:numPr>
        <w:spacing w:after="60" w:before="0" w:line="300"/>
      </w:pPr>
      <w:r>
        <w:rPr>
          <w:rFonts w:ascii="Pretendard" w:cs="Pretendard" w:eastAsia="Pretendard" w:hAnsi="Pretendard"/>
          <w:b/>
          <w:bCs/>
          <w:sz w:val="21"/>
          <w:szCs w:val="21"/>
        </w:rPr>
        <w:t xml:space="preserve">운전 데이터(텔레메트리)</w:t>
      </w:r>
      <w:r>
        <w:rPr>
          <w:rFonts w:ascii="Pretendard" w:cs="Pretendard" w:eastAsia="Pretendard" w:hAnsi="Pretendard"/>
          <w:sz w:val="21"/>
          <w:szCs w:val="21"/>
        </w:rPr>
        <w:t xml:space="preserve">: 전력·온도·압력 등 연속 계측값으로, 성능·열화 추세의 기본입니다.</w:t>
      </w:r>
    </w:p>
    <w:p>
      <w:pPr>
        <w:pStyle w:val="ListParagraph"/>
        <w:numPr>
          <w:ilvl w:val="0"/>
          <w:numId w:val="3"/>
        </w:numPr>
        <w:spacing w:after="60" w:before="0" w:line="300"/>
      </w:pPr>
      <w:r>
        <w:rPr>
          <w:rFonts w:ascii="Pretendard" w:cs="Pretendard" w:eastAsia="Pretendard" w:hAnsi="Pretendard"/>
          <w:b/>
          <w:bCs/>
          <w:sz w:val="21"/>
          <w:szCs w:val="21"/>
        </w:rPr>
        <w:t xml:space="preserve">이벤트·알람</w:t>
      </w:r>
      <w:r>
        <w:rPr>
          <w:rFonts w:ascii="Pretendard" w:cs="Pretendard" w:eastAsia="Pretendard" w:hAnsi="Pretendard"/>
          <w:sz w:val="21"/>
          <w:szCs w:val="21"/>
        </w:rPr>
        <w:t xml:space="preserve">: 상태 전환·고장 코드로, 원인 분류와 가용률 계산에 씁니다.</w:t>
      </w:r>
    </w:p>
    <w:p>
      <w:pPr>
        <w:pStyle w:val="ListParagraph"/>
        <w:numPr>
          <w:ilvl w:val="0"/>
          <w:numId w:val="3"/>
        </w:numPr>
        <w:spacing w:after="60" w:before="0" w:line="300"/>
      </w:pPr>
      <w:r>
        <w:rPr>
          <w:rFonts w:ascii="Pretendard" w:cs="Pretendard" w:eastAsia="Pretendard" w:hAnsi="Pretendard"/>
          <w:b/>
          <w:bCs/>
          <w:sz w:val="21"/>
          <w:szCs w:val="21"/>
        </w:rPr>
        <w:t xml:space="preserve">명판·설계정보</w:t>
      </w:r>
      <w:r>
        <w:rPr>
          <w:rFonts w:ascii="Pretendard" w:cs="Pretendard" w:eastAsia="Pretendard" w:hAnsi="Pretendard"/>
          <w:sz w:val="21"/>
          <w:szCs w:val="21"/>
        </w:rPr>
        <w:t xml:space="preserve">: 사양·결선도·시운전 성능값으로, 정상 기대값의 기준입니다.</w:t>
      </w:r>
    </w:p>
    <w:p>
      <w:pPr>
        <w:pStyle w:val="ListParagraph"/>
        <w:numPr>
          <w:ilvl w:val="0"/>
          <w:numId w:val="3"/>
        </w:numPr>
        <w:spacing w:after="60" w:before="0" w:line="300"/>
      </w:pPr>
      <w:r>
        <w:rPr>
          <w:rFonts w:ascii="Pretendard" w:cs="Pretendard" w:eastAsia="Pretendard" w:hAnsi="Pretendard"/>
          <w:b/>
          <w:bCs/>
          <w:sz w:val="21"/>
          <w:szCs w:val="21"/>
        </w:rPr>
        <w:t xml:space="preserve">정비이력</w:t>
      </w:r>
      <w:r>
        <w:rPr>
          <w:rFonts w:ascii="Pretendard" w:cs="Pretendard" w:eastAsia="Pretendard" w:hAnsi="Pretendard"/>
          <w:sz w:val="21"/>
          <w:szCs w:val="21"/>
        </w:rPr>
        <w:t xml:space="preserve">: 작업지시·교체 부품·조치 결과로, AI가 배울 정답 라벨입니다.</w:t>
      </w:r>
    </w:p>
    <w:p>
      <w:pPr>
        <w:pStyle w:val="ListParagraph"/>
        <w:numPr>
          <w:ilvl w:val="0"/>
          <w:numId w:val="3"/>
        </w:numPr>
        <w:spacing w:after="60" w:before="0" w:line="300"/>
      </w:pPr>
      <w:r>
        <w:rPr>
          <w:rFonts w:ascii="Pretendard" w:cs="Pretendard" w:eastAsia="Pretendard" w:hAnsi="Pretendard"/>
          <w:b/>
          <w:bCs/>
          <w:sz w:val="21"/>
          <w:szCs w:val="21"/>
        </w:rPr>
        <w:t xml:space="preserve">점검 이미지(IR·EL·IV)</w:t>
      </w:r>
      <w:r>
        <w:rPr>
          <w:rFonts w:ascii="Pretendard" w:cs="Pretendard" w:eastAsia="Pretendard" w:hAnsi="Pretendard"/>
          <w:sz w:val="21"/>
          <w:szCs w:val="21"/>
        </w:rPr>
        <w:t xml:space="preserve">: 열화상·전계발광·전류-전압 곡선으로, 이상 위치를 확정합니다.</w:t>
      </w:r>
    </w:p>
    <w:p>
      <w:pPr>
        <w:pStyle w:val="ListParagraph"/>
        <w:numPr>
          <w:ilvl w:val="0"/>
          <w:numId w:val="3"/>
        </w:numPr>
        <w:spacing w:after="60" w:before="0" w:line="300"/>
      </w:pPr>
      <w:r>
        <w:rPr>
          <w:rFonts w:ascii="Pretendard" w:cs="Pretendard" w:eastAsia="Pretendard" w:hAnsi="Pretendard"/>
          <w:b/>
          <w:bCs/>
          <w:sz w:val="21"/>
          <w:szCs w:val="21"/>
        </w:rPr>
        <w:t xml:space="preserve">설정값 변경 이력</w:t>
      </w:r>
      <w:r>
        <w:rPr>
          <w:rFonts w:ascii="Pretendard" w:cs="Pretendard" w:eastAsia="Pretendard" w:hAnsi="Pretendard"/>
          <w:sz w:val="21"/>
          <w:szCs w:val="21"/>
        </w:rPr>
        <w:t xml:space="preserve">: 충전율 상한·보호 설정·펌웨어 기록으로, 열화 오판을 막습니다.</w:t>
      </w:r>
    </w:p>
    <w:p>
      <w:pPr>
        <w:pStyle w:val="ListParagraph"/>
        <w:numPr>
          <w:ilvl w:val="0"/>
          <w:numId w:val="3"/>
        </w:numPr>
        <w:spacing w:after="60" w:before="0" w:line="300"/>
      </w:pPr>
      <w:r>
        <w:rPr>
          <w:rFonts w:ascii="Pretendard" w:cs="Pretendard" w:eastAsia="Pretendard" w:hAnsi="Pretendard"/>
          <w:b/>
          <w:bCs/>
          <w:sz w:val="21"/>
          <w:szCs w:val="21"/>
        </w:rPr>
        <w:t xml:space="preserve">기상·시장가격</w:t>
      </w:r>
      <w:r>
        <w:rPr>
          <w:rFonts w:ascii="Pretendard" w:cs="Pretendard" w:eastAsia="Pretendard" w:hAnsi="Pretendard"/>
          <w:sz w:val="21"/>
          <w:szCs w:val="21"/>
        </w:rPr>
        <w:t xml:space="preserve">: 일사·강수·출력제어 지령·SMP로, 외부 요인과 손실 금액을 계산합니다.</w:t>
      </w:r>
    </w:p>
    <w:p>
      <w:pPr>
        <w:spacing w:after="100" w:before="40" w:line="312"/>
      </w:pPr>
      <w:r>
        <w:rPr>
          <w:rFonts w:ascii="Pretendard" w:cs="Pretendard" w:eastAsia="Pretendard" w:hAnsi="Pretendard"/>
          <w:b w:val="false"/>
          <w:bCs w:val="false"/>
          <w:color w:val="222222"/>
          <w:sz w:val="21"/>
          <w:szCs w:val="21"/>
        </w:rPr>
        <w:t xml:space="preserve">보통 받는 계측 데이터는 </w:t>
      </w:r>
      <w:r>
        <w:rPr>
          <w:rFonts w:ascii="Pretendard" w:cs="Pretendard" w:eastAsia="Pretendard" w:hAnsi="Pretendard"/>
          <w:b/>
          <w:bCs/>
          <w:color w:val="222222"/>
          <w:sz w:val="21"/>
          <w:szCs w:val="21"/>
        </w:rPr>
        <w:t xml:space="preserve">189개</w:t>
      </w:r>
      <w:r>
        <w:rPr>
          <w:rFonts w:ascii="Pretendard" w:cs="Pretendard" w:eastAsia="Pretendard" w:hAnsi="Pretendard"/>
          <w:b w:val="false"/>
          <w:bCs w:val="false"/>
          <w:color w:val="222222"/>
          <w:sz w:val="21"/>
          <w:szCs w:val="21"/>
        </w:rPr>
        <w:t xml:space="preserve">(필수 115·권장 61·선택 13)입니다. 연료전지가 40개로 가장 많은데, 스택 외 주변설비를 따로 봐야 하기 때문입니다. 유럽 가정용 연료전지 열병합(micro-CHP) 67기 분석에서 PEM 연료전지 고장의 64%가 주변설비에서 났고 스택 원인 정지는 1%였습니다(IEA AFC TCP 2021, 개질 계통을 포함한 설비 기준).</w:t>
      </w:r>
    </w:p>
    <w:p>
      <w:pPr>
        <w:keepNext/>
        <w:spacing w:after="0" w:before="120"/>
        <w:jc w:val="center"/>
      </w:pPr>
      <w:r>
        <w:drawing>
          <wp:inline distT="0" distB="0" distL="0" distR="0">
            <wp:extent cx="3562350" cy="2219325"/>
            <wp:effectExtent t="0" r="0" b="0" l="0"/>
            <wp:docPr id="1" name="data-counts.png" descr="분야별로 보통 받는 계측 데이터 항목 수(필수·권장·선택, 총 189개)" title="분야별로 보통 받는 계측 데이터 항목 수(필수·권장·선택, 총 189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2219325"/>
                    </a:xfrm>
                    <a:prstGeom prst="rect">
                      <a:avLst/>
                    </a:prstGeom>
                  </pic:spPr>
                </pic:pic>
              </a:graphicData>
            </a:graphic>
          </wp:inline>
        </w:drawing>
      </w:r>
    </w:p>
    <w:p>
      <w:pPr>
        <w:spacing w:after="160" w:before="40" w:line="312"/>
        <w:jc w:val="center"/>
      </w:pPr>
      <w:r>
        <w:rPr>
          <w:rFonts w:ascii="Pretendard" w:cs="Pretendard" w:eastAsia="Pretendard" w:hAnsi="Pretendard"/>
          <w:b w:val="false"/>
          <w:bCs w:val="false"/>
          <w:color w:val="858585"/>
          <w:sz w:val="19"/>
          <w:szCs w:val="19"/>
        </w:rPr>
        <w:t xml:space="preserve">[그림 2] 분야별로 보통 받는 계측 데이터 항목 수(필수·권장·선택, 총 189개)</w:t>
      </w:r>
    </w:p>
    <w:p>
      <w:pPr>
        <w:keepNext/>
        <w:spacing w:after="80" w:before="120" w:line="312"/>
      </w:pPr>
      <w:r>
        <w:rPr>
          <w:rFonts w:ascii="Pretendard" w:cs="Pretendard" w:eastAsia="Pretendard" w:hAnsi="Pretendard"/>
          <w:b/>
          <w:bCs/>
          <w:color w:val="4081ED"/>
          <w:sz w:val="20"/>
          <w:szCs w:val="20"/>
        </w:rPr>
        <w:t xml:space="preserve">[표 4] 태양광·ESS에서 보통 받는 핵심 데이터(필수 중심)</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89"/>
        <w:gridCol w:w="2978"/>
        <w:gridCol w:w="1354"/>
        <w:gridCol w:w="3251"/>
      </w:tblGrid>
      <w:tr>
        <w:trPr>
          <w:tblHeader/>
        </w:trPr>
        <w:tc>
          <w:tcPr>
            <w:tcW w:type="dxa" w:w="1489"/>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설비</w:t>
            </w:r>
          </w:p>
        </w:tc>
        <w:tc>
          <w:tcPr>
            <w:tcW w:type="dxa" w:w="2978"/>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데이터</w:t>
            </w:r>
          </w:p>
        </w:tc>
        <w:tc>
          <w:tcPr>
            <w:tcW w:type="dxa" w:w="135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주기</w:t>
            </w:r>
          </w:p>
        </w:tc>
        <w:tc>
          <w:tcPr>
            <w:tcW w:type="dxa" w:w="3251"/>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이 데이터로 알 수 있는 것</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거래 계량</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계통 송·수전 전력량</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15분</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수익 기준 발전량, 교류측 손실</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기상</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경사면 일사·모듈온도, 위성 일사</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1분 / 15분</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기대발전량·온도보정 PR, 일사계 드리프트</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인버터</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교류 전력·누적 kWh, 운전 상태·고장코드 원문</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1분 / 이벤트</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변환효율, 트립 원인·가용률</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인버터·계통</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출력제한 설정값, 출력제어 지령</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변경 시</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출력제어 손실과 고장 손실 분리</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인버터</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방열판·IGBT 온도, 디레이팅 여부</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1~5분</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팬·필터·방열 열화 조기 탐지</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스트링</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스트링 전류, MPPT 채널 전압</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1분</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스트링 개방·다이오드 단락·PID 위치</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ESS 셀·BMS</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전압(최고·최저·위치)·온도, SOC·충방전 한계</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10초~1분</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약한 셀, 미세단락 의심, 충전율 준수</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ESS 안전·공조</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절연저항, BMS 경보, 배터리실 온·습도</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1분 / 이벤트</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결로·빗물 유입, 화재 전조</w:t>
            </w:r>
          </w:p>
        </w:tc>
      </w:tr>
    </w:tbl>
    <w:p>
      <w:pPr>
        <w:spacing w:after="160" w:before="60" w:line="312"/>
      </w:pPr>
      <w:r>
        <w:rPr>
          <w:rFonts w:ascii="Pretendard" w:cs="Pretendard" w:eastAsia="Pretendard" w:hAnsi="Pretendard"/>
          <w:b w:val="false"/>
          <w:bCs w:val="false"/>
          <w:color w:val="858585"/>
          <w:sz w:val="18"/>
          <w:szCs w:val="18"/>
        </w:rPr>
        <w:t xml:space="preserve">※ 주기는 권장 간격이며 설비별로 다릅니다. 기상 1분: IEC 61724-1(2차 요약), 15분: 한전 AMI. 근거: NREL 2019, SolarPower Europe v6.0. 전체: 엑셀 ‘수집데이터_전력’(103개).</w:t>
      </w:r>
    </w:p>
    <w:p>
      <w:pPr>
        <w:keepNext/>
        <w:spacing w:after="80" w:before="120" w:line="312"/>
      </w:pPr>
      <w:r>
        <w:rPr>
          <w:rFonts w:ascii="Pretendard" w:cs="Pretendard" w:eastAsia="Pretendard" w:hAnsi="Pretendard"/>
          <w:b/>
          <w:bCs/>
          <w:color w:val="4081ED"/>
          <w:sz w:val="20"/>
          <w:szCs w:val="20"/>
        </w:rPr>
        <w:t xml:space="preserve">[표 5] 수소 설비에서 보통 받는 핵심 데이터(필수 중심)</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89"/>
        <w:gridCol w:w="2978"/>
        <w:gridCol w:w="1354"/>
        <w:gridCol w:w="3251"/>
      </w:tblGrid>
      <w:tr>
        <w:trPr>
          <w:tblHeader/>
        </w:trPr>
        <w:tc>
          <w:tcPr>
            <w:tcW w:type="dxa" w:w="1489"/>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설비</w:t>
            </w:r>
          </w:p>
        </w:tc>
        <w:tc>
          <w:tcPr>
            <w:tcW w:type="dxa" w:w="2978"/>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데이터</w:t>
            </w:r>
          </w:p>
        </w:tc>
        <w:tc>
          <w:tcPr>
            <w:tcW w:type="dxa" w:w="135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주기</w:t>
            </w:r>
          </w:p>
        </w:tc>
        <w:tc>
          <w:tcPr>
            <w:tcW w:type="dxa" w:w="3251"/>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이 데이터로 알 수 있는 것</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전해조 스택</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스택 전류·전압, 셀 전압 배열, 운전 상태·트립 코드</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1초 / 이벤트</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기준조건 전압 추세, 약한 셀, 기동정지 횟수</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전해조 계량</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정류기·주변설비 전력량, 수소 유량</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1분 적산</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비소비전력(kWh/kg), 정류기 효율</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가스 분석·수질</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산소 중 수소, 순수 전도도, 제품 이슬점</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1~10초</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안전 여유, 막 열화, 오염·흡착제 열화</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압축기</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흡입 산소, 단별 압력·온도, 전력량</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1~10초</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산소 혼입, kWh/kg 추세, 밸브 누설</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저장뱅크</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뱅크 압력(절대압)·가스온도</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10초</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온도 보정 재고(kg), 누설 판정</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안전계통</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검지기 원시값·교정 상태, 비상차단 원인·바이패스</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1초 / 이벤트</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저농도 누출, 감시 공백, 보호 무력화</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연료전지 스택·운전</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전압 배열, 수소 유량·순출력, 기동정지·저부하 카운터</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10초 / 1초 / 이벤트</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이상 셀, 수소원단위(kg/MWh), 운전 스트레스</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연료전지 주변설비</w:t>
            </w:r>
          </w:p>
        </w:tc>
        <w:tc>
          <w:tcPr>
            <w:tcW w:type="dxa" w:w="297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공기 유량·블로워 전력, 냉각수 온도·전도도</w:t>
            </w:r>
          </w:p>
        </w:tc>
        <w:tc>
          <w:tcPr>
            <w:tcW w:type="dxa" w:w="135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1초~1분</w:t>
            </w:r>
          </w:p>
        </w:tc>
        <w:tc>
          <w:tcPr>
            <w:tcW w:type="dxa" w:w="3251"/>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블로워 마모, 냉각 저하, 필터 소진</w:t>
            </w:r>
          </w:p>
        </w:tc>
      </w:tr>
    </w:tbl>
    <w:p>
      <w:pPr>
        <w:spacing w:after="160" w:before="60" w:line="312"/>
      </w:pPr>
      <w:r>
        <w:rPr>
          <w:rFonts w:ascii="Pretendard" w:cs="Pretendard" w:eastAsia="Pretendard" w:hAnsi="Pretendard"/>
          <w:b w:val="false"/>
          <w:bCs w:val="false"/>
          <w:color w:val="858585"/>
          <w:sz w:val="18"/>
          <w:szCs w:val="18"/>
        </w:rPr>
        <w:t xml:space="preserve">※ 근거: DOE, IRENA 2020, KGS AH271·FU671, 제조사 자료. 셀 전압 배열은 구매 사양에 명시해야 확보됩니다. 전체: 엑셀 ‘수집데이터_수소’(86개).</w:t>
      </w:r>
    </w:p>
    <w:p>
      <w:pPr>
        <w:keepNext/>
        <w:spacing w:after="80" w:before="200" w:line="312"/>
      </w:pPr>
      <w:r>
        <w:rPr>
          <w:rFonts w:ascii="Pretendard" w:cs="Pretendard" w:eastAsia="Pretendard" w:hAnsi="Pretendard"/>
          <w:b/>
          <w:bCs/>
          <w:color w:val="4081ED"/>
          <w:sz w:val="26"/>
          <w:szCs w:val="26"/>
        </w:rPr>
        <w:t xml:space="preserve">계측 외에 반드시 함께 받아야 할 데이터</w:t>
      </w:r>
    </w:p>
    <w:p>
      <w:pPr>
        <w:pStyle w:val="ListParagraph"/>
        <w:numPr>
          <w:ilvl w:val="0"/>
          <w:numId w:val="3"/>
        </w:numPr>
        <w:spacing w:after="60" w:before="0" w:line="300"/>
      </w:pPr>
      <w:r>
        <w:rPr>
          <w:rFonts w:ascii="Pretendard" w:cs="Pretendard" w:eastAsia="Pretendard" w:hAnsi="Pretendard"/>
          <w:b/>
          <w:bCs/>
          <w:sz w:val="21"/>
          <w:szCs w:val="21"/>
        </w:rPr>
        <w:t xml:space="preserve">정비이력</w:t>
      </w:r>
      <w:r>
        <w:rPr>
          <w:rFonts w:ascii="Pretendard" w:cs="Pretendard" w:eastAsia="Pretendard" w:hAnsi="Pretendard"/>
          <w:sz w:val="21"/>
          <w:szCs w:val="21"/>
        </w:rPr>
        <w:t xml:space="preserve">: AI의 정답 라벨입니다. 설비ID·증상·정지 시간·조치·교체 부품·사진을 최소 필드로 남깁니다(설계 제안).</w:t>
      </w:r>
    </w:p>
    <w:p>
      <w:pPr>
        <w:pStyle w:val="ListParagraph"/>
        <w:numPr>
          <w:ilvl w:val="0"/>
          <w:numId w:val="3"/>
        </w:numPr>
        <w:spacing w:after="60" w:before="0" w:line="300"/>
      </w:pPr>
      <w:r>
        <w:rPr>
          <w:rFonts w:ascii="Pretendard" w:cs="Pretendard" w:eastAsia="Pretendard" w:hAnsi="Pretendard"/>
          <w:b/>
          <w:bCs/>
          <w:sz w:val="21"/>
          <w:szCs w:val="21"/>
        </w:rPr>
        <w:t xml:space="preserve">알람 코드 사전</w:t>
      </w:r>
      <w:r>
        <w:rPr>
          <w:rFonts w:ascii="Pretendard" w:cs="Pretendard" w:eastAsia="Pretendard" w:hAnsi="Pretendard"/>
          <w:sz w:val="21"/>
          <w:szCs w:val="21"/>
        </w:rPr>
        <w:t xml:space="preserve">: 제조사·모델·펌웨어별로 관리하고 공통 고장 분류(ISO 14224)에 연결합니다.</w:t>
      </w:r>
    </w:p>
    <w:p>
      <w:pPr>
        <w:pStyle w:val="ListParagraph"/>
        <w:numPr>
          <w:ilvl w:val="0"/>
          <w:numId w:val="3"/>
        </w:numPr>
        <w:spacing w:after="60" w:before="0" w:line="300"/>
      </w:pPr>
      <w:r>
        <w:rPr>
          <w:rFonts w:ascii="Pretendard" w:cs="Pretendard" w:eastAsia="Pretendard" w:hAnsi="Pretendard"/>
          <w:b/>
          <w:bCs/>
          <w:sz w:val="21"/>
          <w:szCs w:val="21"/>
        </w:rPr>
        <w:t xml:space="preserve">명판·시운전 기준값</w:t>
      </w:r>
      <w:r>
        <w:rPr>
          <w:rFonts w:ascii="Pretendard" w:cs="Pretendard" w:eastAsia="Pretendard" w:hAnsi="Pretendard"/>
          <w:sz w:val="21"/>
          <w:szCs w:val="21"/>
        </w:rPr>
        <w:t xml:space="preserve">: 열화 판정의 출발점입니다. 한 분석사의 ESS 대상 사업 중 시운전에서 정격 용량을 충족한 곳은 83%였습니다(ACCURE 2025, 벤더 자료).</w:t>
      </w:r>
    </w:p>
    <w:p>
      <w:pPr>
        <w:pStyle w:val="ListParagraph"/>
        <w:numPr>
          <w:ilvl w:val="0"/>
          <w:numId w:val="3"/>
        </w:numPr>
        <w:spacing w:after="60" w:before="0" w:line="300"/>
      </w:pPr>
      <w:r>
        <w:rPr>
          <w:rFonts w:ascii="Pretendard" w:cs="Pretendard" w:eastAsia="Pretendard" w:hAnsi="Pretendard"/>
          <w:b/>
          <w:bCs/>
          <w:sz w:val="21"/>
          <w:szCs w:val="21"/>
        </w:rPr>
        <w:t xml:space="preserve">설정값·펌웨어 변경 이력</w:t>
      </w:r>
      <w:r>
        <w:rPr>
          <w:rFonts w:ascii="Pretendard" w:cs="Pretendard" w:eastAsia="Pretendard" w:hAnsi="Pretendard"/>
          <w:sz w:val="21"/>
          <w:szCs w:val="21"/>
        </w:rPr>
        <w:t xml:space="preserve">: 전후 값이 없으면 계단식 변화를 열화로 오판합니다. 점검·교정 기록을 포함한 전체 목록은 엑셀 ‘운영·비정형 데이터’ 시트(131행)에 있습니다.</w:t>
      </w:r>
    </w:p>
    <w:p>
      <w:pPr>
        <w:keepNext/>
        <w:spacing w:after="80" w:before="200" w:line="312"/>
      </w:pPr>
      <w:r>
        <w:rPr>
          <w:rFonts w:ascii="Pretendard" w:cs="Pretendard" w:eastAsia="Pretendard" w:hAnsi="Pretendard"/>
          <w:b/>
          <w:bCs/>
          <w:color w:val="4081ED"/>
          <w:sz w:val="26"/>
          <w:szCs w:val="26"/>
        </w:rPr>
        <w:t xml:space="preserve">데이터 확보 현실성</w:t>
      </w:r>
    </w:p>
    <w:p>
      <w:pPr>
        <w:spacing w:after="100" w:before="40" w:line="312"/>
      </w:pPr>
      <w:r>
        <w:rPr>
          <w:rFonts w:ascii="Pretendard" w:cs="Pretendard" w:eastAsia="Pretendard" w:hAnsi="Pretendard"/>
          <w:b w:val="false"/>
          <w:bCs w:val="false"/>
          <w:color w:val="222222"/>
          <w:sz w:val="21"/>
          <w:szCs w:val="21"/>
        </w:rPr>
        <w:t xml:space="preserve">ESS 셀 전압 전체 배열·BMS 사고 기록과 전해조·연료전지 셀 전압 배열·알람 코드 사전은 제조사만 가진 경우가 많아, 계약에 없으면 셀 단위 조기 탐지와 스택 수명 예측을 할 수 없습니다. 수소 설비는 구매 전이므로 지금 다음 조항을 넣어야 합니다.</w:t>
      </w:r>
    </w:p>
    <w:p>
      <w:pPr>
        <w:pStyle w:val="ListParagraph"/>
        <w:numPr>
          <w:ilvl w:val="0"/>
          <w:numId w:val="3"/>
        </w:numPr>
        <w:spacing w:after="60" w:before="0" w:line="300"/>
      </w:pPr>
      <w:r>
        <w:rPr>
          <w:rFonts w:ascii="Pretendard" w:cs="Pretendard" w:eastAsia="Pretendard" w:hAnsi="Pretendard"/>
          <w:b/>
          <w:bCs/>
          <w:sz w:val="21"/>
          <w:szCs w:val="21"/>
        </w:rPr>
        <w:t xml:space="preserve">소유권·표준</w:t>
      </w:r>
      <w:r>
        <w:rPr>
          <w:rFonts w:ascii="Pretendard" w:cs="Pretendard" w:eastAsia="Pretendard" w:hAnsi="Pretendard"/>
          <w:sz w:val="21"/>
          <w:szCs w:val="21"/>
        </w:rPr>
        <w:t xml:space="preserve">: 원시 데이터는 발전사업자 소유로 두고(SolarPower Europe v6.0), 태그·알람 사전과 표준 정보모델(SunSpec)을 요구합니다(NREL 2019).</w:t>
      </w:r>
    </w:p>
    <w:p>
      <w:pPr>
        <w:pStyle w:val="ListParagraph"/>
        <w:numPr>
          <w:ilvl w:val="0"/>
          <w:numId w:val="3"/>
        </w:numPr>
        <w:spacing w:after="60" w:before="0" w:line="300"/>
      </w:pPr>
      <w:r>
        <w:rPr>
          <w:rFonts w:ascii="Pretendard" w:cs="Pretendard" w:eastAsia="Pretendard" w:hAnsi="Pretendard"/>
          <w:b/>
          <w:bCs/>
          <w:sz w:val="21"/>
          <w:szCs w:val="21"/>
        </w:rPr>
        <w:t xml:space="preserve">해상도·보관</w:t>
      </w:r>
      <w:r>
        <w:rPr>
          <w:rFonts w:ascii="Pretendard" w:cs="Pretendard" w:eastAsia="Pretendard" w:hAnsi="Pretendard"/>
          <w:sz w:val="21"/>
          <w:szCs w:val="21"/>
        </w:rPr>
        <w:t xml:space="preserve">: 요약값 1분 이하, 기동·트립 전후 1초 버스트, 현장 버퍼 90일 이상을 요구합니다(설계 제안, REMS RTU 요건 준용).</w:t>
      </w:r>
    </w:p>
    <w:p>
      <w:pPr>
        <w:pStyle w:val="ListParagraph"/>
        <w:numPr>
          <w:ilvl w:val="0"/>
          <w:numId w:val="3"/>
        </w:numPr>
        <w:spacing w:after="60" w:before="0" w:line="300"/>
      </w:pPr>
      <w:r>
        <w:rPr>
          <w:rFonts w:ascii="Pretendard" w:cs="Pretendard" w:eastAsia="Pretendard" w:hAnsi="Pretendard"/>
          <w:b/>
          <w:bCs/>
          <w:sz w:val="21"/>
          <w:szCs w:val="21"/>
        </w:rPr>
        <w:t xml:space="preserve">수소 설비 사양</w:t>
      </w:r>
      <w:r>
        <w:rPr>
          <w:rFonts w:ascii="Pretendard" w:cs="Pretendard" w:eastAsia="Pretendard" w:hAnsi="Pretendard"/>
          <w:sz w:val="21"/>
          <w:szCs w:val="21"/>
        </w:rPr>
        <w:t xml:space="preserve">: 셀 전압 배열, 전력원별 전력량, 장기유지보수계약(LTSA) 보증 산정 원시값을 넣습니다. 전해조 스택 교체비는 시스템 투자비의 35~45%입니다(EPRI 2022).</w:t>
      </w:r>
    </w:p>
    <w:p>
      <w:pPr>
        <w:pStyle w:val="ListParagraph"/>
        <w:numPr>
          <w:ilvl w:val="0"/>
          <w:numId w:val="3"/>
        </w:numPr>
        <w:spacing w:after="60" w:before="0" w:line="300"/>
      </w:pPr>
      <w:r>
        <w:rPr>
          <w:rFonts w:ascii="Pretendard" w:cs="Pretendard" w:eastAsia="Pretendard" w:hAnsi="Pretendard"/>
          <w:b/>
          <w:bCs/>
          <w:sz w:val="21"/>
          <w:szCs w:val="21"/>
        </w:rPr>
        <w:t xml:space="preserve">보안 경계</w:t>
      </w:r>
      <w:r>
        <w:rPr>
          <w:rFonts w:ascii="Pretendard" w:cs="Pretendard" w:eastAsia="Pretendard" w:hAnsi="Pretendard"/>
          <w:sz w:val="21"/>
          <w:szCs w:val="21"/>
        </w:rPr>
        <w:t xml:space="preserve">: 콘솔은 읽기 전용, 전송은 현장→클라우드 방향만 열고 안전계통은 수집망과 분리합니다(NIST SP 800-82r3, IEC 62443).</w:t>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4. 수명·노후 판단과 개선 여지</w:t>
      </w:r>
    </w:p>
    <w:p>
      <w:pPr>
        <w:spacing w:after="100" w:before="40" w:line="312"/>
      </w:pPr>
      <w:r>
        <w:rPr>
          <w:rFonts w:ascii="Pretendard" w:cs="Pretendard" w:eastAsia="Pretendard" w:hAnsi="Pretendard"/>
          <w:b/>
          <w:bCs/>
          <w:color w:val="222222"/>
          <w:sz w:val="21"/>
          <w:szCs w:val="21"/>
        </w:rPr>
        <w:t xml:space="preserve">노후(열화) 판단의 원칙은 ‘같은 조건에서 비교했을 때 성능이 얼마나 줄었는가’입니다. 조건을 맞추지 않으면 날씨·온도·운전 방식의 차이를 노후로 착각합니다.</w:t>
      </w:r>
    </w:p>
    <w:p>
      <w:pPr>
        <w:keepNext/>
        <w:spacing w:after="80" w:before="200" w:line="312"/>
      </w:pPr>
      <w:r>
        <w:rPr>
          <w:rFonts w:ascii="Pretendard" w:cs="Pretendard" w:eastAsia="Pretendard" w:hAnsi="Pretendard"/>
          <w:b/>
          <w:bCs/>
          <w:color w:val="4081ED"/>
          <w:sz w:val="26"/>
          <w:szCs w:val="26"/>
        </w:rPr>
        <w:t xml:space="preserve">설비별 설계수명과 열화 속도</w:t>
      </w:r>
    </w:p>
    <w:p>
      <w:pPr>
        <w:spacing w:after="100" w:before="40" w:line="312"/>
      </w:pPr>
      <w:r>
        <w:rPr>
          <w:rFonts w:ascii="Pretendard" w:cs="Pretendard" w:eastAsia="Pretendard" w:hAnsi="Pretendard"/>
          <w:b w:val="false"/>
          <w:bCs w:val="false"/>
          <w:color w:val="222222"/>
          <w:sz w:val="21"/>
          <w:szCs w:val="21"/>
        </w:rPr>
        <w:t xml:space="preserve">인버터는 통상 15년으로 언급되므로(BFH 2022) 발전소 수명 중간에 한 번은 교체를 준비해야 하고(IEA PVPS T13-25), ESS는 사이클 수명과 캘린더 수명 중 짧은 쪽이 실제 교체 시점이 됩니다(PNNL 2022).</w:t>
      </w:r>
    </w:p>
    <w:p>
      <w:pPr>
        <w:keepNext/>
        <w:spacing w:after="0" w:before="120"/>
        <w:jc w:val="center"/>
      </w:pPr>
      <w:r>
        <w:drawing>
          <wp:inline distT="0" distB="0" distL="0" distR="0">
            <wp:extent cx="3562350" cy="2219325"/>
            <wp:effectExtent t="0" r="0" b="0" l="0"/>
            <wp:docPr id="1" name="lifespan.png" descr="설비별 기대수명(년): PV 모듈(NREL ATB 2024), 변압기 절연(IEEE C57.91), ESS LFP 캘린더(PNNL 2022), 인버터(BFH 2022)" title="설비별 기대수명(년): PV 모듈(NREL ATB 2024), 변압기 절연(IEEE C57.91), ESS LFP 캘린더(PNNL 2022), 인버터(BFH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2219325"/>
                    </a:xfrm>
                    <a:prstGeom prst="rect">
                      <a:avLst/>
                    </a:prstGeom>
                  </pic:spPr>
                </pic:pic>
              </a:graphicData>
            </a:graphic>
          </wp:inline>
        </w:drawing>
      </w:r>
    </w:p>
    <w:p>
      <w:pPr>
        <w:spacing w:after="160" w:before="40" w:line="312"/>
        <w:jc w:val="center"/>
      </w:pPr>
      <w:r>
        <w:rPr>
          <w:rFonts w:ascii="Pretendard" w:cs="Pretendard" w:eastAsia="Pretendard" w:hAnsi="Pretendard"/>
          <w:b w:val="false"/>
          <w:bCs w:val="false"/>
          <w:color w:val="858585"/>
          <w:sz w:val="19"/>
          <w:szCs w:val="19"/>
        </w:rPr>
        <w:t xml:space="preserve">[그림 3] 설비별 기대수명(년): PV 모듈(NREL ATB 2024), 변압기 절연(IEEE C57.91), ESS LFP 캘린더(PNNL 2022), 인버터(BFH 2022)</w:t>
      </w:r>
    </w:p>
    <w:p>
      <w:pPr>
        <w:spacing w:after="100" w:before="40" w:line="312"/>
      </w:pPr>
      <w:r>
        <w:rPr>
          <w:rFonts w:ascii="Pretendard" w:cs="Pretendard" w:eastAsia="Pretendard" w:hAnsi="Pretendard"/>
          <w:b w:val="false"/>
          <w:bCs w:val="false"/>
          <w:color w:val="222222"/>
          <w:sz w:val="21"/>
          <w:szCs w:val="21"/>
        </w:rPr>
        <w:t xml:space="preserve">수소 설비는 켜져 있는 시간만큼 닳는 스택이 수명을 좌우해 ‘운전시간’으로 말합니다. 태양광 연계 전해조는 연 2,000시간 미만 운전하므로(IRENA 2020) 40,000시간을 채우려면 20년 넘게 걸리지만(계산), 기동정지와 무전류 대기(OCV)가 열화를 키우므로(Weiß 2019) 운전시간만으로 수명을 계산하면 안 됩니다.</w:t>
      </w:r>
    </w:p>
    <w:p>
      <w:pPr>
        <w:keepNext/>
        <w:spacing w:after="0" w:before="120"/>
        <w:jc w:val="center"/>
      </w:pPr>
      <w:r>
        <w:drawing>
          <wp:inline distT="0" distB="0" distL="0" distR="0">
            <wp:extent cx="3562350" cy="2219325"/>
            <wp:effectExtent t="0" r="0" b="0" l="0"/>
            <wp:docPr id="1" name="stack-hours.png" descr="스택 운전시간 기준 수명(천 시간): PEM 전해조(DOE 2022 현황·2026 목표), 정치형 PEM 연료전지(DOE 목표)" title="스택 운전시간 기준 수명(천 시간): PEM 전해조(DOE 2022 현황·2026 목표), 정치형 PEM 연료전지(DOE 목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2219325"/>
                    </a:xfrm>
                    <a:prstGeom prst="rect">
                      <a:avLst/>
                    </a:prstGeom>
                  </pic:spPr>
                </pic:pic>
              </a:graphicData>
            </a:graphic>
          </wp:inline>
        </w:drawing>
      </w:r>
    </w:p>
    <w:p>
      <w:pPr>
        <w:spacing w:after="160" w:before="40" w:line="312"/>
        <w:jc w:val="center"/>
      </w:pPr>
      <w:r>
        <w:rPr>
          <w:rFonts w:ascii="Pretendard" w:cs="Pretendard" w:eastAsia="Pretendard" w:hAnsi="Pretendard"/>
          <w:b w:val="false"/>
          <w:bCs w:val="false"/>
          <w:color w:val="858585"/>
          <w:sz w:val="19"/>
          <w:szCs w:val="19"/>
        </w:rPr>
        <w:t xml:space="preserve">[그림 4] 스택 운전시간 기준 수명(천 시간): PEM 전해조(DOE 2022 현황·2026 목표), 정치형 PEM 연료전지(DOE 목표)</w:t>
      </w:r>
    </w:p>
    <w:p>
      <w:pPr>
        <w:keepNext/>
        <w:spacing w:after="80" w:before="120" w:line="312"/>
      </w:pPr>
      <w:r>
        <w:rPr>
          <w:rFonts w:ascii="Pretendard" w:cs="Pretendard" w:eastAsia="Pretendard" w:hAnsi="Pretendard"/>
          <w:b/>
          <w:bCs/>
          <w:color w:val="4081ED"/>
          <w:sz w:val="20"/>
          <w:szCs w:val="20"/>
        </w:rPr>
        <w:t xml:space="preserve">[표 6] 설비별 설계수명·대표 열화율·주요 교체주기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7"/>
        <w:gridCol w:w="2485"/>
        <w:gridCol w:w="2734"/>
        <w:gridCol w:w="2486"/>
      </w:tblGrid>
      <w:tr>
        <w:trPr>
          <w:tblHeader/>
        </w:trPr>
        <w:tc>
          <w:tcPr>
            <w:tcW w:type="dxa" w:w="1367"/>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설비</w:t>
            </w:r>
          </w:p>
        </w:tc>
        <w:tc>
          <w:tcPr>
            <w:tcW w:type="dxa" w:w="2485"/>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설계수명·기준</w:t>
            </w:r>
          </w:p>
        </w:tc>
        <w:tc>
          <w:tcPr>
            <w:tcW w:type="dxa" w:w="273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대표 열화율</w:t>
            </w:r>
          </w:p>
        </w:tc>
        <w:tc>
          <w:tcPr>
            <w:tcW w:type="dxa" w:w="2486"/>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소모품·점검 주기</w:t>
            </w:r>
          </w:p>
        </w:tc>
      </w:tr>
      <w:tr>
        <w:tc>
          <w:tcPr>
            <w:tcW w:type="dxa" w:w="136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PV 모듈</w:t>
            </w:r>
          </w:p>
        </w:tc>
        <w:tc>
          <w:tcPr>
            <w:tcW w:type="dxa" w:w="248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사업 수명 30년 가정</w:t>
            </w:r>
          </w:p>
          <w:p>
            <w:pPr>
              <w:spacing w:after="0" w:before="0" w:line="264"/>
              <w:jc w:val="left"/>
            </w:pPr>
            <w:r>
              <w:rPr>
                <w:rFonts w:ascii="Pretendard" w:cs="Pretendard" w:eastAsia="Pretendard" w:hAnsi="Pretendard"/>
                <w:b w:val="false"/>
                <w:bCs w:val="false"/>
                <w:color w:val="222222"/>
                <w:sz w:val="18"/>
                <w:szCs w:val="18"/>
              </w:rPr>
              <w:t xml:space="preserve">(NREL ATB 2024)</w:t>
            </w:r>
          </w:p>
        </w:tc>
        <w:tc>
          <w:tcPr>
            <w:tcW w:type="dxa" w:w="27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문헌 중앙값 0.5%/년(Jordan·Kurtz 2013)</w:t>
            </w:r>
          </w:p>
          <w:p>
            <w:pPr>
              <w:spacing w:after="0" w:before="0" w:line="264"/>
              <w:jc w:val="left"/>
            </w:pPr>
            <w:r>
              <w:rPr>
                <w:rFonts w:ascii="Pretendard" w:cs="Pretendard" w:eastAsia="Pretendard" w:hAnsi="Pretendard"/>
                <w:b w:val="false"/>
                <w:bCs w:val="false"/>
                <w:color w:val="222222"/>
                <w:sz w:val="18"/>
                <w:szCs w:val="18"/>
              </w:rPr>
              <w:t xml:space="preserve">미국 설비군 −0.75%/년(NREL 2024)</w:t>
            </w:r>
          </w:p>
        </w:tc>
        <w:tc>
          <w:tcPr>
            <w:tcW w:type="dxa" w:w="248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열화상 점검 반기 권고(SolarPower Europe O&amp;M v6)</w:t>
            </w:r>
          </w:p>
        </w:tc>
      </w:tr>
      <w:tr>
        <w:tc>
          <w:tcPr>
            <w:tcW w:type="dxa" w:w="136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인버터(PCS)</w:t>
            </w:r>
          </w:p>
        </w:tc>
        <w:tc>
          <w:tcPr>
            <w:tcW w:type="dxa" w:w="248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통상 15년(BFH 2022)</w:t>
            </w:r>
          </w:p>
          <w:p>
            <w:pPr>
              <w:spacing w:after="0" w:before="0" w:line="264"/>
              <w:jc w:val="left"/>
            </w:pPr>
            <w:r>
              <w:rPr>
                <w:rFonts w:ascii="Pretendard" w:cs="Pretendard" w:eastAsia="Pretendard" w:hAnsi="Pretendard"/>
                <w:b w:val="false"/>
                <w:bCs w:val="false"/>
                <w:color w:val="222222"/>
                <w:sz w:val="18"/>
                <w:szCs w:val="18"/>
              </w:rPr>
              <w:t xml:space="preserve">보증 10년 표준(NREL 2019)</w:t>
            </w:r>
          </w:p>
        </w:tc>
        <w:tc>
          <w:tcPr>
            <w:tcW w:type="dxa" w:w="27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스위스 주거용은 15년차에 34.3%가 첫 고장(BFH 2022)</w:t>
            </w:r>
          </w:p>
        </w:tc>
        <w:tc>
          <w:tcPr>
            <w:tcW w:type="dxa" w:w="248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필터 청소 반기·교체 2년(SolarPower Europe O&amp;M v6)</w:t>
            </w:r>
          </w:p>
        </w:tc>
      </w:tr>
      <w:tr>
        <w:tc>
          <w:tcPr>
            <w:tcW w:type="dxa" w:w="136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 셀·랙(LFP)</w:t>
            </w:r>
          </w:p>
        </w:tc>
        <w:tc>
          <w:tcPr>
            <w:tcW w:type="dxa" w:w="248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캘린더 수명 16년(PNNL 2022)</w:t>
            </w:r>
          </w:p>
        </w:tc>
        <w:tc>
          <w:tcPr>
            <w:tcW w:type="dxa" w:w="27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100% DOD에서 4,800사이클에 정격 60% 도달 가정(PNNL 2022)</w:t>
            </w:r>
          </w:p>
        </w:tc>
        <w:tc>
          <w:tcPr>
            <w:tcW w:type="dxa" w:w="248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교체 기준 예: 초기 용량의 70%(NREL 2019)</w:t>
            </w:r>
          </w:p>
        </w:tc>
      </w:tr>
      <w:tr>
        <w:tc>
          <w:tcPr>
            <w:tcW w:type="dxa" w:w="136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전해조 스택</w:t>
            </w:r>
          </w:p>
        </w:tc>
        <w:tc>
          <w:tcPr>
            <w:tcW w:type="dxa" w:w="248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2022 현황 40,000 h, 2026 목표 80,000 h</w:t>
            </w:r>
          </w:p>
          <w:p>
            <w:pPr>
              <w:spacing w:after="0" w:before="0" w:line="264"/>
              <w:jc w:val="left"/>
            </w:pPr>
            <w:r>
              <w:rPr>
                <w:rFonts w:ascii="Pretendard" w:cs="Pretendard" w:eastAsia="Pretendard" w:hAnsi="Pretendard"/>
                <w:b w:val="false"/>
                <w:bCs w:val="false"/>
                <w:color w:val="222222"/>
                <w:sz w:val="18"/>
                <w:szCs w:val="18"/>
              </w:rPr>
              <w:t xml:space="preserve">수명말: 전압 +10%(DOE PEM 목표)</w:t>
            </w:r>
          </w:p>
        </w:tc>
        <w:tc>
          <w:tcPr>
            <w:tcW w:type="dxa" w:w="27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셀당 4.8 µV/h(0.25%/1,000 h)(DOE PEM 목표)</w:t>
            </w:r>
          </w:p>
          <w:p>
            <w:pPr>
              <w:spacing w:after="0" w:before="0" w:line="264"/>
              <w:jc w:val="left"/>
            </w:pPr>
            <w:r>
              <w:rPr>
                <w:rFonts w:ascii="Pretendard" w:cs="Pretendard" w:eastAsia="Pretendard" w:hAnsi="Pretendard"/>
                <w:b w:val="false"/>
                <w:bCs w:val="false"/>
                <w:color w:val="222222"/>
                <w:sz w:val="18"/>
                <w:szCs w:val="18"/>
              </w:rPr>
              <w:t xml:space="preserve">기저부하 1~1.5%/년(EPRI 2022)</w:t>
            </w:r>
          </w:p>
        </w:tc>
        <w:tc>
          <w:tcPr>
            <w:tcW w:type="dxa" w:w="248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교체비는 CAPEX의 35~45%(EPRI 2022)</w:t>
            </w:r>
          </w:p>
        </w:tc>
      </w:tr>
      <w:tr>
        <w:tc>
          <w:tcPr>
            <w:tcW w:type="dxa" w:w="136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다이어프램 압축기</w:t>
            </w:r>
          </w:p>
        </w:tc>
        <w:tc>
          <w:tcPr>
            <w:tcW w:type="dxa" w:w="248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오일 교환 외 무교체 10,000~40,000 h(PDC Machines 제조사 자료)</w:t>
            </w:r>
          </w:p>
        </w:tc>
        <w:tc>
          <w:tcPr>
            <w:tcW w:type="dxa" w:w="27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다이어프램 파단이 가장 흔한 고장(IJHE 다이어프램 연구)</w:t>
            </w:r>
          </w:p>
        </w:tc>
        <w:tc>
          <w:tcPr>
            <w:tcW w:type="dxa" w:w="248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최종단 안전밸브 조정 연 1회 이상(고압가스 안전관리법 시행규칙 별표4)</w:t>
            </w:r>
          </w:p>
        </w:tc>
      </w:tr>
      <w:tr>
        <w:tc>
          <w:tcPr>
            <w:tcW w:type="dxa" w:w="136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연료전지 스택</w:t>
            </w:r>
          </w:p>
        </w:tc>
        <w:tc>
          <w:tcPr>
            <w:tcW w:type="dxa" w:w="248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정치형 60,000~80,000 h, 가용률 99% 목표(DOE 정치형 연료전지 목표)</w:t>
            </w:r>
          </w:p>
        </w:tc>
        <w:tc>
          <w:tcPr>
            <w:tcW w:type="dxa" w:w="273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1~25 kW 사이클 운전 0.3%/1,000 h 목표(DOE 정치형 연료전지 목표)</w:t>
            </w:r>
          </w:p>
          <w:p>
            <w:pPr>
              <w:spacing w:after="0" w:before="0" w:line="264"/>
              <w:jc w:val="left"/>
            </w:pPr>
            <w:r>
              <w:rPr>
                <w:rFonts w:ascii="Pretendard" w:cs="Pretendard" w:eastAsia="Pretendard" w:hAnsi="Pretendard"/>
                <w:b w:val="false"/>
                <w:bCs w:val="false"/>
                <w:color w:val="222222"/>
                <w:sz w:val="18"/>
                <w:szCs w:val="18"/>
              </w:rPr>
              <w:t xml:space="preserve">PEMFC 약 1%/년(IEA AFC TCP 2021)</w:t>
            </w:r>
          </w:p>
        </w:tc>
        <w:tc>
          <w:tcPr>
            <w:tcW w:type="dxa" w:w="2486"/>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스택 교체 5~10년(US EPA CHP 기술 카탈로그)</w:t>
            </w:r>
          </w:p>
        </w:tc>
      </w:tr>
    </w:tbl>
    <w:p>
      <w:pPr>
        <w:spacing w:after="160" w:before="60" w:line="312"/>
      </w:pPr>
      <w:r>
        <w:rPr>
          <w:rFonts w:ascii="Pretendard" w:cs="Pretendard" w:eastAsia="Pretendard" w:hAnsi="Pretendard"/>
          <w:b w:val="false"/>
          <w:bCs w:val="false"/>
          <w:color w:val="858585"/>
          <w:sz w:val="18"/>
          <w:szCs w:val="18"/>
        </w:rPr>
        <w:t xml:space="preserve">※ 설계수명은 기관의 가정·목표값이므로 설비 선정 후 제조사 자료로 다시 확인해야 합니다. 24개 설비 전체는 동봉 엑셀 ‘설계수명·교체주기’ 시트에 있습니다.</w:t>
      </w:r>
    </w:p>
    <w:p>
      <w:pPr>
        <w:keepNext/>
        <w:spacing w:after="80" w:before="200" w:line="312"/>
      </w:pPr>
      <w:r>
        <w:rPr>
          <w:rFonts w:ascii="Pretendard" w:cs="Pretendard" w:eastAsia="Pretendard" w:hAnsi="Pretendard"/>
          <w:b/>
          <w:bCs/>
          <w:color w:val="4081ED"/>
          <w:sz w:val="26"/>
          <w:szCs w:val="26"/>
        </w:rPr>
        <w:t xml:space="preserve">데이터로 보이는 노후 신호</w:t>
      </w:r>
    </w:p>
    <w:p>
      <w:pPr>
        <w:spacing w:after="100" w:before="40" w:line="312"/>
      </w:pPr>
      <w:r>
        <w:rPr>
          <w:rFonts w:ascii="Pretendard" w:cs="Pretendard" w:eastAsia="Pretendard" w:hAnsi="Pretendard"/>
          <w:b w:val="false"/>
          <w:bCs w:val="false"/>
          <w:color w:val="222222"/>
          <w:sz w:val="21"/>
          <w:szCs w:val="21"/>
        </w:rPr>
        <w:t xml:space="preserve">노후는 ‘조건은 같은데 결과가 조금씩 나빠지는’ 모양으로 나타납니다. 찾는 방법은 </w:t>
      </w:r>
      <w:r>
        <w:rPr>
          <w:rFonts w:ascii="Pretendard" w:cs="Pretendard" w:eastAsia="Pretendard" w:hAnsi="Pretendard"/>
          <w:b/>
          <w:bCs/>
          <w:color w:val="222222"/>
          <w:sz w:val="21"/>
          <w:szCs w:val="21"/>
        </w:rPr>
        <w:t xml:space="preserve">같은 조건 비교</w:t>
      </w:r>
      <w:r>
        <w:rPr>
          <w:rFonts w:ascii="Pretendard" w:cs="Pretendard" w:eastAsia="Pretendard" w:hAnsi="Pretendard"/>
          <w:b w:val="false"/>
          <w:bCs w:val="false"/>
          <w:color w:val="222222"/>
          <w:sz w:val="21"/>
          <w:szCs w:val="21"/>
        </w:rPr>
        <w:t xml:space="preserve">(전류·온도·부하 구간을 맞춤), </w:t>
      </w:r>
      <w:r>
        <w:rPr>
          <w:rFonts w:ascii="Pretendard" w:cs="Pretendard" w:eastAsia="Pretendard" w:hAnsi="Pretendard"/>
          <w:b/>
          <w:bCs/>
          <w:color w:val="222222"/>
          <w:sz w:val="21"/>
          <w:szCs w:val="21"/>
        </w:rPr>
        <w:t xml:space="preserve">추세</w:t>
      </w:r>
      <w:r>
        <w:rPr>
          <w:rFonts w:ascii="Pretendard" w:cs="Pretendard" w:eastAsia="Pretendard" w:hAnsi="Pretendard"/>
          <w:b w:val="false"/>
          <w:bCs w:val="false"/>
          <w:color w:val="222222"/>
          <w:sz w:val="21"/>
          <w:szCs w:val="21"/>
        </w:rPr>
        <w:t xml:space="preserve">(튀는 값에 강한 Theil–Sen 기울기), </w:t>
      </w:r>
      <w:r>
        <w:rPr>
          <w:rFonts w:ascii="Pretendard" w:cs="Pretendard" w:eastAsia="Pretendard" w:hAnsi="Pretendard"/>
          <w:b/>
          <w:bCs/>
          <w:color w:val="222222"/>
          <w:sz w:val="21"/>
          <w:szCs w:val="21"/>
        </w:rPr>
        <w:t xml:space="preserve">동종 비교</w:t>
      </w:r>
      <w:r>
        <w:rPr>
          <w:rFonts w:ascii="Pretendard" w:cs="Pretendard" w:eastAsia="Pretendard" w:hAnsi="Pretendard"/>
          <w:b w:val="false"/>
          <w:bCs w:val="false"/>
          <w:color w:val="222222"/>
          <w:sz w:val="21"/>
          <w:szCs w:val="21"/>
        </w:rPr>
        <w:t xml:space="preserve">(같은 발전소의 같은 모델끼리, 날씨 영향 제거), </w:t>
      </w:r>
      <w:r>
        <w:rPr>
          <w:rFonts w:ascii="Pretendard" w:cs="Pretendard" w:eastAsia="Pretendard" w:hAnsi="Pretendard"/>
          <w:b/>
          <w:bCs/>
          <w:color w:val="222222"/>
          <w:sz w:val="21"/>
          <w:szCs w:val="21"/>
        </w:rPr>
        <w:t xml:space="preserve">전년 동기 비교(YoY)</w:t>
      </w:r>
      <w:r>
        <w:rPr>
          <w:rFonts w:ascii="Pretendard" w:cs="Pretendard" w:eastAsia="Pretendard" w:hAnsi="Pretendard"/>
          <w:b w:val="false"/>
          <w:bCs w:val="false"/>
          <w:color w:val="222222"/>
          <w:sz w:val="21"/>
          <w:szCs w:val="21"/>
        </w:rPr>
        <w:t xml:space="preserve">(계절 영향 제거, 태양광 열화율)의 네 가지입니다.</w:t>
      </w:r>
    </w:p>
    <w:p>
      <w:pPr>
        <w:keepNext/>
        <w:spacing w:after="80" w:before="120" w:line="312"/>
      </w:pPr>
      <w:r>
        <w:rPr>
          <w:rFonts w:ascii="Pretendard" w:cs="Pretendard" w:eastAsia="Pretendard" w:hAnsi="Pretendard"/>
          <w:b/>
          <w:bCs/>
          <w:color w:val="4081ED"/>
          <w:sz w:val="20"/>
          <w:szCs w:val="20"/>
        </w:rPr>
        <w:t xml:space="preserve">[표 7] 설비별 노후 신호와 판단 방법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89"/>
        <w:gridCol w:w="3520"/>
        <w:gridCol w:w="4063"/>
      </w:tblGrid>
      <w:tr>
        <w:trPr>
          <w:tblHeader/>
        </w:trPr>
        <w:tc>
          <w:tcPr>
            <w:tcW w:type="dxa" w:w="1489"/>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설비</w:t>
            </w:r>
          </w:p>
        </w:tc>
        <w:tc>
          <w:tcPr>
            <w:tcW w:type="dxa" w:w="3520"/>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노후 신호</w:t>
            </w:r>
          </w:p>
        </w:tc>
        <w:tc>
          <w:tcPr>
            <w:tcW w:type="dxa" w:w="4063"/>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판단 방법</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PV 모듈</w:t>
            </w:r>
          </w:p>
        </w:tc>
        <w:tc>
          <w:tcPr>
            <w:tcW w:type="dxa" w:w="35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정규화 발전량이 해마다 감소</w:t>
            </w:r>
          </w:p>
        </w:tc>
        <w:tc>
          <w:tcPr>
            <w:tcW w:type="dxa" w:w="406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전년 동기 비교, 오염 분리 후 판정</w:t>
            </w:r>
          </w:p>
          <w:p>
            <w:pPr>
              <w:spacing w:after="0" w:before="0" w:line="264"/>
              <w:jc w:val="left"/>
            </w:pPr>
            <w:r>
              <w:rPr>
                <w:rFonts w:ascii="Pretendard" w:cs="Pretendard" w:eastAsia="Pretendard" w:hAnsi="Pretendard"/>
                <w:b w:val="false"/>
                <w:bCs w:val="false"/>
                <w:color w:val="222222"/>
                <w:sz w:val="18"/>
                <w:szCs w:val="18"/>
              </w:rPr>
              <w:t xml:space="preserve">2년 이상 데이터 필요(NREL 2024)</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인버터</w:t>
            </w:r>
          </w:p>
        </w:tc>
        <w:tc>
          <w:tcPr>
            <w:tcW w:type="dxa" w:w="35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부하·외기에서 방열판 온도차 상승</w:t>
            </w:r>
          </w:p>
        </w:tc>
        <w:tc>
          <w:tcPr>
            <w:tcW w:type="dxa" w:w="406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 비교, 분기 추세(계절 보정)</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 랙</w:t>
            </w:r>
          </w:p>
        </w:tc>
        <w:tc>
          <w:tcPr>
            <w:tcW w:type="dxa" w:w="35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전압 구간의 충전 전하량(Ah) 감소</w:t>
            </w:r>
          </w:p>
        </w:tc>
        <w:tc>
          <w:tcPr>
            <w:tcW w:type="dxa" w:w="406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 비교(Ah 기준), 분기 추세</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전해조 스택</w:t>
            </w:r>
          </w:p>
        </w:tc>
        <w:tc>
          <w:tcPr>
            <w:tcW w:type="dxa" w:w="35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기준 전류밀도에서 셀 평균전압 상승</w:t>
            </w:r>
          </w:p>
        </w:tc>
        <w:tc>
          <w:tcPr>
            <w:tcW w:type="dxa" w:w="406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 비교 + 운전시간 축 추세</w:t>
            </w:r>
          </w:p>
          <w:p>
            <w:pPr>
              <w:spacing w:after="0" w:before="0" w:line="264"/>
              <w:jc w:val="left"/>
            </w:pPr>
            <w:r>
              <w:rPr>
                <w:rFonts w:ascii="Pretendard" w:cs="Pretendard" w:eastAsia="Pretendard" w:hAnsi="Pretendard"/>
                <w:b w:val="false"/>
                <w:bCs w:val="false"/>
                <w:color w:val="222222"/>
                <w:sz w:val="18"/>
                <w:szCs w:val="18"/>
              </w:rPr>
              <w:t xml:space="preserve">초기 1,000 h 제외(Clean Hydrogen JU AST 프로토콜)</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수소 압축기</w:t>
            </w:r>
          </w:p>
        </w:tc>
        <w:tc>
          <w:tcPr>
            <w:tcW w:type="dxa" w:w="35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압력비에서 kWh/kg 상승</w:t>
            </w:r>
          </w:p>
        </w:tc>
        <w:tc>
          <w:tcPr>
            <w:tcW w:type="dxa" w:w="406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 비교(압력비 구간), 월별 추세</w:t>
            </w:r>
          </w:p>
        </w:tc>
      </w:tr>
      <w:tr>
        <w:tc>
          <w:tcPr>
            <w:tcW w:type="dxa" w:w="148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연료전지 스택</w:t>
            </w:r>
          </w:p>
        </w:tc>
        <w:tc>
          <w:tcPr>
            <w:tcW w:type="dxa" w:w="35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기준 전류에서 셀 전압 하락, 같은 최저셀 반복</w:t>
            </w:r>
          </w:p>
        </w:tc>
        <w:tc>
          <w:tcPr>
            <w:tcW w:type="dxa" w:w="406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 비교 + 분기 추세, 셀 간 비교</w:t>
            </w:r>
          </w:p>
        </w:tc>
      </w:tr>
    </w:tbl>
    <w:p>
      <w:pPr>
        <w:spacing w:after="160" w:before="60" w:line="312"/>
      </w:pPr>
      <w:r>
        <w:rPr>
          <w:rFonts w:ascii="Pretendard" w:cs="Pretendard" w:eastAsia="Pretendard" w:hAnsi="Pretendard"/>
          <w:b w:val="false"/>
          <w:bCs w:val="false"/>
          <w:color w:val="858585"/>
          <w:sz w:val="18"/>
          <w:szCs w:val="18"/>
        </w:rPr>
        <w:t xml:space="preserve">※ 필요한 데이터는 3장 표를 참고합니다. 점검 임계값은 설비 사양과 초기 운전 데이터로 정해야 하며, 판단 방법 일부는 표준·문헌의 원리를 바탕으로 한 설계 제안입니다(NREL 2019, SolarPower Europe O&amp;M v6, DOE PEM 목표). 47개 분석 항목 전체는 동봉 엑셀 ‘분석항목×주기’ 시트에 있습니다.</w:t>
      </w:r>
    </w:p>
    <w:p>
      <w:pPr>
        <w:keepNext/>
        <w:spacing w:after="80" w:before="200" w:line="312"/>
      </w:pPr>
      <w:r>
        <w:rPr>
          <w:rFonts w:ascii="Pretendard" w:cs="Pretendard" w:eastAsia="Pretendard" w:hAnsi="Pretendard"/>
          <w:b/>
          <w:bCs/>
          <w:color w:val="4081ED"/>
          <w:sz w:val="26"/>
          <w:szCs w:val="26"/>
        </w:rPr>
        <w:t xml:space="preserve">예시: 같은 전압·전류에서 충전시간 8시간 → 7시간 30분</w:t>
      </w:r>
    </w:p>
    <w:p>
      <w:pPr>
        <w:spacing w:after="100" w:before="40" w:line="312"/>
      </w:pPr>
      <w:r>
        <w:rPr>
          <w:rFonts w:ascii="Pretendard" w:cs="Pretendard" w:eastAsia="Pretendard" w:hAnsi="Pretendard"/>
          <w:b w:val="false"/>
          <w:bCs w:val="false"/>
          <w:color w:val="222222"/>
          <w:sz w:val="21"/>
          <w:szCs w:val="21"/>
        </w:rPr>
        <w:t xml:space="preserve">ESS를 같은 전압·전류로 충전했는데 완충 시간이 8시간에서 7시간 30분으로 줄었다면, 좋아진 것이 아니라 담을 수 있는 양이 줄었다는 신호일 수 있습니다. 시작 충전상태(SOC)가 같고 전 구간을 같은 전류로 충전했다면 7.5 ÷ 8 = 0.9375이므로 </w:t>
      </w:r>
      <w:r>
        <w:rPr>
          <w:rFonts w:ascii="Pretendard" w:cs="Pretendard" w:eastAsia="Pretendard" w:hAnsi="Pretendard"/>
          <w:b/>
          <w:bCs/>
          <w:color w:val="222222"/>
          <w:sz w:val="21"/>
          <w:szCs w:val="21"/>
        </w:rPr>
        <w:t xml:space="preserve">유효용량이 약 6.25% 줄었다</w:t>
      </w:r>
      <w:r>
        <w:rPr>
          <w:rFonts w:ascii="Pretendard" w:cs="Pretendard" w:eastAsia="Pretendard" w:hAnsi="Pretendard"/>
          <w:b w:val="false"/>
          <w:bCs w:val="false"/>
          <w:color w:val="222222"/>
          <w:sz w:val="21"/>
          <w:szCs w:val="21"/>
        </w:rPr>
        <w:t xml:space="preserve">는 뜻입니다(계산).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시간 대신 Ah로 판단하는 이유</w:t>
            </w:r>
          </w:p>
          <w:p>
            <w:pPr>
              <w:spacing w:after="40" w:before="0" w:line="312"/>
            </w:pPr>
            <w:r>
              <w:rPr>
                <w:rFonts w:ascii="Pretendard" w:cs="Pretendard" w:eastAsia="Pretendard" w:hAnsi="Pretendard"/>
                <w:b w:val="false"/>
                <w:bCs w:val="false"/>
                <w:color w:val="222222"/>
                <w:sz w:val="21"/>
                <w:szCs w:val="21"/>
              </w:rPr>
              <w:t xml:space="preserve">태양광 연계 ESS는 일사량에 따라 충전전류가 계속 바뀌어, 용량이 같아도 충전시간이 달라집니다. 그래서 실제로 들어간 전하량(Ah)을 온도·충전속도 구간이 같은 세션끼리 비교하고, 준공 초기 세션을 기준값으로 저장합니다(설계 제안).</w:t>
            </w:r>
          </w:p>
        </w:tc>
      </w:tr>
    </w:tbl>
    <w:p>
      <w:pPr>
        <w:spacing w:after="80" w:before="40" w:line="312"/>
      </w:pPr>
      <w:r>
        <w:rPr>
          <w:rFonts w:ascii="Pretendard" w:cs="Pretendard" w:eastAsia="Pretendard" w:hAnsi="Pretendard"/>
          <w:b w:val="false"/>
          <w:bCs w:val="false"/>
          <w:color w:val="222222"/>
          <w:sz w:val="21"/>
          <w:szCs w:val="21"/>
        </w:rPr>
        <w:t xml:space="preserve"/>
      </w:r>
    </w:p>
    <w:p>
      <w:pPr>
        <w:spacing w:after="100" w:before="40" w:line="312"/>
      </w:pPr>
      <w:r>
        <w:rPr>
          <w:rFonts w:ascii="Pretendard" w:cs="Pretendard" w:eastAsia="Pretendard" w:hAnsi="Pretendard"/>
          <w:b w:val="false"/>
          <w:bCs w:val="false"/>
          <w:color w:val="222222"/>
          <w:sz w:val="21"/>
          <w:szCs w:val="21"/>
        </w:rPr>
        <w:t xml:space="preserve">다만 저온에 따른 일시적 용량 저하, BMS의 SOC 재보정, SOC 상한 설정 변경(예: 90% → 80%), 셀 불균형, 내부저항 증가도 같은 모양을 만들어 오탐의 원인이 되므로 설정값 변경 이력을 함께 받아야 합니다.</w:t>
      </w:r>
    </w:p>
    <w:p>
      <w:pPr>
        <w:keepNext/>
        <w:spacing w:after="0" w:before="120"/>
        <w:jc w:val="center"/>
      </w:pPr>
      <w:r>
        <w:drawing>
          <wp:inline distT="0" distB="0" distL="0" distR="0">
            <wp:extent cx="3562350" cy="2219325"/>
            <wp:effectExtent t="0" r="0" b="0" l="0"/>
            <wp:docPr id="1" name="ess-trend.png" descr="ESS 유효용량 추세(예시): 연 3%p 감소 가정 시 7년차 82%, 80% 보강·교체 검토선 표시(실측값 아님)" title="ESS 유효용량 추세(예시): 연 3%p 감소 가정 시 7년차 82%, 80% 보강·교체 검토선 표시(실측값 아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62350" cy="2219325"/>
                    </a:xfrm>
                    <a:prstGeom prst="rect">
                      <a:avLst/>
                    </a:prstGeom>
                  </pic:spPr>
                </pic:pic>
              </a:graphicData>
            </a:graphic>
          </wp:inline>
        </w:drawing>
      </w:r>
    </w:p>
    <w:p>
      <w:pPr>
        <w:spacing w:after="160" w:before="40" w:line="312"/>
        <w:jc w:val="center"/>
      </w:pPr>
      <w:r>
        <w:rPr>
          <w:rFonts w:ascii="Pretendard" w:cs="Pretendard" w:eastAsia="Pretendard" w:hAnsi="Pretendard"/>
          <w:b w:val="false"/>
          <w:bCs w:val="false"/>
          <w:color w:val="858585"/>
          <w:sz w:val="19"/>
          <w:szCs w:val="19"/>
        </w:rPr>
        <w:t xml:space="preserve">[그림 5] ESS 유효용량 추세(예시): 연 3%p 감소 가정 시 7년차 82%, 80% 보강·교체 검토선 표시(실측값 아님)</w:t>
      </w:r>
    </w:p>
    <w:p>
      <w:pPr>
        <w:spacing w:after="100" w:before="40" w:line="312"/>
      </w:pPr>
      <w:r>
        <w:rPr>
          <w:rFonts w:ascii="Pretendard" w:cs="Pretendard" w:eastAsia="Pretendard" w:hAnsi="Pretendard"/>
          <w:b w:val="false"/>
          <w:bCs w:val="false"/>
          <w:color w:val="222222"/>
          <w:sz w:val="21"/>
          <w:szCs w:val="21"/>
        </w:rPr>
        <w:t xml:space="preserve">그림은 하루 1사이클 LFP ESS의 정상 용량 감소 월 약 0.25%p(계산, PNNL 2022 기반·선형 가정), 즉 연 약 3%p를 이어 그린 예시입니다. 6.25% 감소가 한 달 사이에 나타났다면 정상 속도의 약 25배이므로(계산) 노후보다 오탐 원인이나 셀 이상을 먼저 확인합니다. 실제 리튬이온 전지는 사이클 후반에 급락점(knee)이 나타날 수 있으므로(Sandia Preger 2020) 분기마다 추세를 갱신하고 보강·교체 판단은 연간 리포트에서 합니다. 80% 검토선도 예시이며, 실제 교체 기준은 보증 계약에 따라 다릅니다.</w:t>
      </w:r>
    </w:p>
    <w:p>
      <w:pPr>
        <w:keepNext/>
        <w:spacing w:after="80" w:before="200" w:line="312"/>
      </w:pPr>
      <w:r>
        <w:rPr>
          <w:rFonts w:ascii="Pretendard" w:cs="Pretendard" w:eastAsia="Pretendard" w:hAnsi="Pretendard"/>
          <w:b/>
          <w:bCs/>
          <w:color w:val="4081ED"/>
          <w:sz w:val="26"/>
          <w:szCs w:val="26"/>
        </w:rPr>
        <w:t xml:space="preserve">개선 여지와 기대효과</w:t>
      </w:r>
    </w:p>
    <w:p>
      <w:pPr>
        <w:spacing w:after="100" w:before="40" w:line="312"/>
      </w:pPr>
      <w:r>
        <w:rPr>
          <w:rFonts w:ascii="Pretendard" w:cs="Pretendard" w:eastAsia="Pretendard" w:hAnsi="Pretendard"/>
          <w:b w:val="false"/>
          <w:bCs w:val="false"/>
          <w:color w:val="222222"/>
          <w:sz w:val="21"/>
          <w:szCs w:val="21"/>
        </w:rPr>
        <w:t xml:space="preserve">아래 기대효과는 출처의 대상·지역·시험 조건에서 나온 값으로 우리 발전소의 약속값이 아니므로, 조치 전후를 같은 조건으로 비교해 검증해야 합니다.</w:t>
      </w:r>
    </w:p>
    <w:p>
      <w:pPr>
        <w:keepNext/>
        <w:spacing w:after="80" w:before="120" w:line="312"/>
      </w:pPr>
      <w:r>
        <w:rPr>
          <w:rFonts w:ascii="Pretendard" w:cs="Pretendard" w:eastAsia="Pretendard" w:hAnsi="Pretendard"/>
          <w:b/>
          <w:bCs/>
          <w:color w:val="4081ED"/>
          <w:sz w:val="20"/>
          <w:szCs w:val="20"/>
        </w:rPr>
        <w:t xml:space="preserve">[표 8] 개선 항목별 기대효과와 필요한 분석 주기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72"/>
        <w:gridCol w:w="5127"/>
        <w:gridCol w:w="1973"/>
      </w:tblGrid>
      <w:tr>
        <w:trPr>
          <w:tblHeader/>
        </w:trPr>
        <w:tc>
          <w:tcPr>
            <w:tcW w:type="dxa" w:w="1972"/>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개선 항목</w:t>
            </w:r>
          </w:p>
        </w:tc>
        <w:tc>
          <w:tcPr>
            <w:tcW w:type="dxa" w:w="5127"/>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기대효과(출처 조건 포함)</w:t>
            </w:r>
          </w:p>
        </w:tc>
        <w:tc>
          <w:tcPr>
            <w:tcW w:type="dxa" w:w="1973"/>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필요한 분석 주기</w:t>
            </w:r>
          </w:p>
        </w:tc>
      </w:tr>
      <w:tr>
        <w:tc>
          <w:tcPr>
            <w:tcW w:type="dxa" w:w="197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[태양광] 조건 기반 세척</w:t>
            </w:r>
          </w:p>
        </w:tc>
        <w:tc>
          <w:tcPr>
            <w:tcW w:type="dxa" w:w="51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스페인 남부 1 MW(연 오염손실 3% 이내 지역)에서 여름 ±31일 안 연 1회 최적 세척 시 이익 최대 3.6%(Micheli 2021, 단일 사이트)</w:t>
            </w:r>
          </w:p>
        </w:tc>
        <w:tc>
          <w:tcPr>
            <w:tcW w:type="dxa" w:w="19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월(세척 알림)</w:t>
            </w:r>
          </w:p>
          <w:p>
            <w:pPr>
              <w:spacing w:after="0" w:before="0" w:line="264"/>
              <w:jc w:val="left"/>
            </w:pPr>
            <w:r>
              <w:rPr>
                <w:rFonts w:ascii="Pretendard" w:cs="Pretendard" w:eastAsia="Pretendard" w:hAnsi="Pretendard"/>
                <w:b w:val="false"/>
                <w:bCs w:val="false"/>
                <w:color w:val="222222"/>
                <w:sz w:val="18"/>
                <w:szCs w:val="18"/>
              </w:rPr>
              <w:t xml:space="preserve">연(세척 계획 최적화)</w:t>
            </w:r>
          </w:p>
        </w:tc>
      </w:tr>
      <w:tr>
        <w:tc>
          <w:tcPr>
            <w:tcW w:type="dxa" w:w="197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 방전심도(DOD) 운용</w:t>
            </w:r>
          </w:p>
        </w:tc>
        <w:tc>
          <w:tcPr>
            <w:tcW w:type="dxa" w:w="51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LFP 완전사이클 처리량은 DOD 60%까지 같고 30%에서 약 2배(PNNL 2022, 정격 60% 도달 기준)</w:t>
            </w:r>
          </w:p>
        </w:tc>
        <w:tc>
          <w:tcPr>
            <w:tcW w:type="dxa" w:w="19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월(운전창 준수)</w:t>
            </w:r>
          </w:p>
          <w:p>
            <w:pPr>
              <w:spacing w:after="0" w:before="0" w:line="264"/>
              <w:jc w:val="left"/>
            </w:pPr>
            <w:r>
              <w:rPr>
                <w:rFonts w:ascii="Pretendard" w:cs="Pretendard" w:eastAsia="Pretendard" w:hAnsi="Pretendard"/>
                <w:b w:val="false"/>
                <w:bCs w:val="false"/>
                <w:color w:val="222222"/>
                <w:sz w:val="18"/>
                <w:szCs w:val="18"/>
              </w:rPr>
              <w:t xml:space="preserve">연(수명 영향)</w:t>
            </w:r>
          </w:p>
        </w:tc>
      </w:tr>
      <w:tr>
        <w:tc>
          <w:tcPr>
            <w:tcW w:type="dxa" w:w="197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 셀 온도 관리(공조)</w:t>
            </w:r>
          </w:p>
        </w:tc>
        <w:tc>
          <w:tcPr>
            <w:tcW w:type="dxa" w:w="51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온도를 연중 20~30°C로 유지하면 수명 4.9년 → 7.0년(NREL Smith 2017 수명모델, 용량 70% 기준·DOD 74%, 모델 계산)</w:t>
            </w:r>
          </w:p>
        </w:tc>
        <w:tc>
          <w:tcPr>
            <w:tcW w:type="dxa" w:w="19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월(온도 이력)</w:t>
            </w:r>
          </w:p>
          <w:p>
            <w:pPr>
              <w:spacing w:after="0" w:before="0" w:line="264"/>
              <w:jc w:val="left"/>
            </w:pPr>
            <w:r>
              <w:rPr>
                <w:rFonts w:ascii="Pretendard" w:cs="Pretendard" w:eastAsia="Pretendard" w:hAnsi="Pretendard"/>
                <w:b w:val="false"/>
                <w:bCs w:val="false"/>
                <w:color w:val="222222"/>
                <w:sz w:val="18"/>
                <w:szCs w:val="18"/>
              </w:rPr>
              <w:t xml:space="preserve">분기(용량 추세)</w:t>
            </w:r>
          </w:p>
        </w:tc>
      </w:tr>
      <w:tr>
        <w:tc>
          <w:tcPr>
            <w:tcW w:type="dxa" w:w="197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[전해조] 정지 중 OCV 대기 회피</w:t>
            </w:r>
          </w:p>
        </w:tc>
        <w:tc>
          <w:tcPr>
            <w:tcW w:type="dxa" w:w="51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OCV 포함 사이클 718회 후 고주파저항 약 1.6배, 1.3 V 유지 시 500회 동안 열화 없음(Weiß 2019, 실험실)</w:t>
            </w:r>
          </w:p>
        </w:tc>
        <w:tc>
          <w:tcPr>
            <w:tcW w:type="dxa" w:w="19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월(OCV 대기시간)</w:t>
            </w:r>
          </w:p>
          <w:p>
            <w:pPr>
              <w:spacing w:after="0" w:before="0" w:line="264"/>
              <w:jc w:val="left"/>
            </w:pPr>
            <w:r>
              <w:rPr>
                <w:rFonts w:ascii="Pretendard" w:cs="Pretendard" w:eastAsia="Pretendard" w:hAnsi="Pretendard"/>
                <w:b w:val="false"/>
                <w:bCs w:val="false"/>
                <w:color w:val="222222"/>
                <w:sz w:val="18"/>
                <w:szCs w:val="18"/>
              </w:rPr>
              <w:t xml:space="preserve">분기(전후 비교)</w:t>
            </w:r>
          </w:p>
        </w:tc>
      </w:tr>
      <w:tr>
        <w:tc>
          <w:tcPr>
            <w:tcW w:type="dxa" w:w="197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[전해조] 수질 관리 강화</w:t>
            </w:r>
          </w:p>
        </w:tc>
        <w:tc>
          <w:tcPr>
            <w:tcW w:type="dxa" w:w="51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신뢰성 이슈의 81%가 고객측 오염, 주로 물(EPRI 2022, Proton Onsite 6년 실적)</w:t>
            </w:r>
          </w:p>
        </w:tc>
        <w:tc>
          <w:tcPr>
            <w:tcW w:type="dxa" w:w="19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월(전도도·수지 처리량)</w:t>
            </w:r>
          </w:p>
        </w:tc>
      </w:tr>
      <w:tr>
        <w:tc>
          <w:tcPr>
            <w:tcW w:type="dxa" w:w="197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[연료전지] 부하변동 완화(ESS 버퍼·램프 제한)</w:t>
            </w:r>
          </w:p>
        </w:tc>
        <w:tc>
          <w:tcPr>
            <w:tcW w:type="dxa" w:w="51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25 cm² 단셀 2,000사이클에서 부하를 완만하게 바꾸면 사이클당 전압 열화 19 → 10 µV(Chandran 2022, 실험실)</w:t>
            </w:r>
          </w:p>
        </w:tc>
        <w:tc>
          <w:tcPr>
            <w:tcW w:type="dxa" w:w="197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월(기동정지·부하 변화율)</w:t>
            </w:r>
          </w:p>
          <w:p>
            <w:pPr>
              <w:spacing w:after="0" w:before="0" w:line="264"/>
              <w:jc w:val="left"/>
            </w:pPr>
            <w:r>
              <w:rPr>
                <w:rFonts w:ascii="Pretendard" w:cs="Pretendard" w:eastAsia="Pretendard" w:hAnsi="Pretendard"/>
                <w:b w:val="false"/>
                <w:bCs w:val="false"/>
                <w:color w:val="222222"/>
                <w:sz w:val="18"/>
                <w:szCs w:val="18"/>
              </w:rPr>
              <w:t xml:space="preserve">분기(전압 추세)</w:t>
            </w:r>
          </w:p>
        </w:tc>
      </w:tr>
    </w:tbl>
    <w:p>
      <w:pPr>
        <w:spacing w:after="160" w:before="60" w:line="312"/>
      </w:pPr>
      <w:r>
        <w:rPr>
          <w:rFonts w:ascii="Pretendard" w:cs="Pretendard" w:eastAsia="Pretendard" w:hAnsi="Pretendard"/>
          <w:b w:val="false"/>
          <w:bCs w:val="false"/>
          <w:color w:val="858585"/>
          <w:sz w:val="18"/>
          <w:szCs w:val="18"/>
        </w:rPr>
        <w:t xml:space="preserve">※ 18개 항목 전체는 동봉 엑셀 ‘개선항목·기대효과’ 시트에 있습니다.</w:t>
      </w:r>
    </w:p>
    <w:p>
      <w:pPr>
        <w:spacing w:after="100" w:before="40" w:line="312"/>
      </w:pPr>
      <w:r>
        <w:rPr>
          <w:rFonts w:ascii="Pretendard" w:cs="Pretendard" w:eastAsia="Pretendard" w:hAnsi="Pretendard"/>
          <w:b w:val="false"/>
          <w:bCs w:val="false"/>
          <w:color w:val="222222"/>
          <w:sz w:val="21"/>
          <w:szCs w:val="21"/>
        </w:rPr>
        <w:t xml:space="preserve">국내 법정 점검 주기는 연간 리포트의 뼈대입니다. 전기설비 정기검사는 태양광·연료전지 발전설비가 4년 이내(농지·임야 등에 설치한 태양광 부지·구조물은 2년 이내), ESS는 1,000 kWh 이상이거나 다중이용 건물에 설치하면 1년 이내, 그 밖에는 2년 이내입니다(전기안전관리법 시행규칙 별표4). 수소연료사용시설은 매 1년(다중이용시설 6개월)이 되는 날 전후 30일 안에 정기검사를 받습니다(수소법 시행령 제50조). 전체 목록은 동봉 엑셀 ‘법정 점검’ 시트에 있습니다.</w:t>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5. 월·분기 AI 분석 설계</w:t>
      </w:r>
    </w:p>
    <w:p>
      <w:pPr>
        <w:keepNext/>
        <w:spacing w:after="80" w:before="200" w:line="312"/>
      </w:pPr>
      <w:r>
        <w:rPr>
          <w:rFonts w:ascii="Pretendard" w:cs="Pretendard" w:eastAsia="Pretendard" w:hAnsi="Pretendard"/>
          <w:b/>
          <w:bCs/>
          <w:color w:val="4081ED"/>
          <w:sz w:val="26"/>
          <w:szCs w:val="26"/>
        </w:rPr>
        <w:t xml:space="preserve">왜 주기별로 볼 수 있는 것이 다른가</w:t>
      </w:r>
    </w:p>
    <w:p>
      <w:pPr>
        <w:spacing w:after="100" w:before="40" w:line="312"/>
      </w:pPr>
      <w:r>
        <w:rPr>
          <w:rFonts w:ascii="Pretendard" w:cs="Pretendard" w:eastAsia="Pretendard" w:hAnsi="Pretendard"/>
          <w:b w:val="false"/>
          <w:bCs w:val="false"/>
          <w:color w:val="222222"/>
          <w:sz w:val="21"/>
          <w:szCs w:val="21"/>
        </w:rPr>
        <w:t xml:space="preserve">노후 신호는 드러나는 속도가 다릅니다. 인버터 트립이나 오염은 며칠 안에 보이지만, 태양광 모듈 열화는 1년에 0.5% 안팎입니다(문헌 중앙값, Jordan·Kurtz 2013). 한 달 열화량(신호)이 같은 기간 날씨·오염·계측 오차(잡음)보다 작으면 월간 분석으로는 열화를 판정할 수 없어, 여러 달 추세나 1년 간격 비교가 필요합니다.</w:t>
      </w:r>
    </w:p>
    <w:p>
      <w:pPr>
        <w:keepNext/>
        <w:spacing w:after="80" w:before="120" w:line="312"/>
      </w:pPr>
      <w:r>
        <w:rPr>
          <w:rFonts w:ascii="Pretendard" w:cs="Pretendard" w:eastAsia="Pretendard" w:hAnsi="Pretendard"/>
          <w:b/>
          <w:bCs/>
          <w:color w:val="4081ED"/>
          <w:sz w:val="20"/>
          <w:szCs w:val="20"/>
        </w:rPr>
        <w:t xml:space="preserve">[표 9] 설비별 신호 대 잡음 비교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7"/>
        <w:gridCol w:w="2629"/>
        <w:gridCol w:w="2892"/>
        <w:gridCol w:w="1974"/>
      </w:tblGrid>
      <w:tr>
        <w:trPr>
          <w:tblHeader/>
        </w:trPr>
        <w:tc>
          <w:tcPr>
            <w:tcW w:type="dxa" w:w="1577"/>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대상·신호</w:t>
            </w:r>
          </w:p>
        </w:tc>
        <w:tc>
          <w:tcPr>
            <w:tcW w:type="dxa" w:w="2629"/>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신호 크기</w:t>
            </w:r>
          </w:p>
        </w:tc>
        <w:tc>
          <w:tcPr>
            <w:tcW w:type="dxa" w:w="2892"/>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같은 기간의 잡음·교란</w:t>
            </w:r>
          </w:p>
        </w:tc>
        <w:tc>
          <w:tcPr>
            <w:tcW w:type="dxa" w:w="1974"/>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판정 주기</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태양광 모듈 열화</w:t>
            </w:r>
          </w:p>
        </w:tc>
        <w:tc>
          <w:tcPr>
            <w:tcW w:type="dxa" w:w="262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연 0.5~0.75% → 월 0.04~0.06%p(계산)</w:t>
            </w:r>
          </w:p>
        </w:tc>
        <w:tc>
          <w:tcPr>
            <w:tcW w:type="dxa" w:w="289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비 없는 1개월 오염만으로 약 1.5% 손실 가능(하루 0.05% × 30일, 계산)</w:t>
            </w:r>
          </w:p>
        </w:tc>
        <w:tc>
          <w:tcPr>
            <w:tcW w:type="dxa" w:w="197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연간·전년 비교</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태양광 오염 손실</w:t>
            </w:r>
          </w:p>
        </w:tc>
        <w:tc>
          <w:tcPr>
            <w:tcW w:type="dxa" w:w="262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건조 구간 동안 날마다 누적</w:t>
            </w:r>
          </w:p>
        </w:tc>
        <w:tc>
          <w:tcPr>
            <w:tcW w:type="dxa" w:w="289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강우(하루 1 mm 이상)로 오염이 초기화되는 구간이 섞임(IEA PVPS T13-21 모델)</w:t>
            </w:r>
          </w:p>
        </w:tc>
        <w:tc>
          <w:tcPr>
            <w:tcW w:type="dxa" w:w="197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월간 탐지(14일 이상 무세척 구간)</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ESS(LFP) 용량 감소</w:t>
            </w:r>
          </w:p>
        </w:tc>
        <w:tc>
          <w:tcPr>
            <w:tcW w:type="dxa" w:w="262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 약 0.25%p(계산, PNNL 2022 기반, 하루 1사이클·선형 가정)</w:t>
            </w:r>
          </w:p>
        </w:tc>
        <w:tc>
          <w:tcPr>
            <w:tcW w:type="dxa" w:w="289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저온 용량 저하, SOC 재보정, 계측 분해능</w:t>
            </w:r>
          </w:p>
        </w:tc>
        <w:tc>
          <w:tcPr>
            <w:tcW w:type="dxa" w:w="197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월은 이상치만, 분기 추세, 연간 보강 판단</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전해조 셀 전압 상승</w:t>
            </w:r>
          </w:p>
        </w:tc>
        <w:tc>
          <w:tcPr>
            <w:tcW w:type="dxa" w:w="262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셀당 월 약 0.8 mV(4.8 µV/h × 월 약 170 h, 계산)</w:t>
            </w:r>
          </w:p>
        </w:tc>
        <w:tc>
          <w:tcPr>
            <w:tcW w:type="dxa" w:w="289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전류밀도·온도·압력에 따른 전압 변동, 초기 활성화 1,000 h</w:t>
            </w:r>
          </w:p>
        </w:tc>
        <w:tc>
          <w:tcPr>
            <w:tcW w:type="dxa" w:w="197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분기 추세, 반기~연 확정</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PEM 연료전지 전압·출력 저하</w:t>
            </w:r>
          </w:p>
        </w:tc>
        <w:tc>
          <w:tcPr>
            <w:tcW w:type="dxa" w:w="262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1,000 h당 0.125~0.33%(계산, DOE 정치형 연료전지 목표 기반)</w:t>
            </w:r>
          </w:p>
        </w:tc>
        <w:tc>
          <w:tcPr>
            <w:tcW w:type="dxa" w:w="289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부하·온도·공기량 변동, 일시적 전압 회복</w:t>
            </w:r>
          </w:p>
        </w:tc>
        <w:tc>
          <w:tcPr>
            <w:tcW w:type="dxa" w:w="197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분기 추세, 연간 확정</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성능 손실·고장</w:t>
            </w:r>
          </w:p>
        </w:tc>
        <w:tc>
          <w:tcPr>
            <w:tcW w:type="dxa" w:w="2629"/>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사건 단위로 바로 드러남</w:t>
            </w:r>
          </w:p>
        </w:tc>
        <w:tc>
          <w:tcPr>
            <w:tcW w:type="dxa" w:w="289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주 단위보다 짧게 판정하면 오탐 증가(NREL 2019)</w:t>
            </w:r>
          </w:p>
        </w:tc>
        <w:tc>
          <w:tcPr>
            <w:tcW w:type="dxa" w:w="1974"/>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월간(업계 모범사례, Solar Best Practices)</w:t>
            </w:r>
          </w:p>
        </w:tc>
      </w:tr>
    </w:tbl>
    <w:p>
      <w:pPr>
        <w:spacing w:after="160" w:before="60" w:line="312"/>
      </w:pPr>
      <w:r>
        <w:rPr>
          <w:rFonts w:ascii="Pretendard" w:cs="Pretendard" w:eastAsia="Pretendard" w:hAnsi="Pretendard"/>
          <w:b w:val="false"/>
          <w:bCs w:val="false"/>
          <w:color w:val="858585"/>
          <w:sz w:val="18"/>
          <w:szCs w:val="18"/>
        </w:rPr>
        <w:t xml:space="preserve">※ 계산 근거: 태양광 열화율 Jordan·Kurtz 2013·NREL 2024, 오염 누적 하루 0.05%는 계산용 가정(NREL 자료 기반), ESS는 PNNL 2022(4,800사이클에 40% 손실), 전해조는 DOE PEM 목표와 IRENA 2020(태양광 연계 연 2,000 h 미만), 연료전지는 DOE 목표(80,000 h에 10%, 60,000 h에 20%)입니다.</w:t>
      </w:r>
    </w:p>
    <w:p>
      <w:pPr>
        <w:keepNext/>
        <w:spacing w:after="0" w:before="120"/>
        <w:jc w:val="center"/>
      </w:pPr>
      <w:r>
        <w:drawing>
          <wp:inline distT="0" distB="0" distL="0" distR="0">
            <wp:extent cx="3562350" cy="2219325"/>
            <wp:effectExtent t="0" r="0" b="0" l="0"/>
            <wp:docPr id="1" name="cadence.png" descr="분석 주기별 판정 가능 항목 수(분석 항목 47개, 중복 포함)" title="분석 주기별 판정 가능 항목 수(분석 항목 47개, 중복 포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62350" cy="2219325"/>
                    </a:xfrm>
                    <a:prstGeom prst="rect">
                      <a:avLst/>
                    </a:prstGeom>
                  </pic:spPr>
                </pic:pic>
              </a:graphicData>
            </a:graphic>
          </wp:inline>
        </w:drawing>
      </w:r>
    </w:p>
    <w:p>
      <w:pPr>
        <w:spacing w:after="160" w:before="40" w:line="312"/>
        <w:jc w:val="center"/>
      </w:pPr>
      <w:r>
        <w:rPr>
          <w:rFonts w:ascii="Pretendard" w:cs="Pretendard" w:eastAsia="Pretendard" w:hAnsi="Pretendard"/>
          <w:b w:val="false"/>
          <w:bCs w:val="false"/>
          <w:color w:val="858585"/>
          <w:sz w:val="19"/>
          <w:szCs w:val="19"/>
        </w:rPr>
        <w:t xml:space="preserve">[그림 6] 분석 주기별 판정 가능 항목 수(분석 항목 47개, 중복 포함)</w:t>
      </w:r>
    </w:p>
    <w:p>
      <w:pPr>
        <w:spacing w:after="100" w:before="40" w:line="312"/>
      </w:pPr>
      <w:r>
        <w:rPr>
          <w:rFonts w:ascii="Pretendard" w:cs="Pretendard" w:eastAsia="Pretendard" w:hAnsi="Pretendard"/>
          <w:b w:val="false"/>
          <w:bCs w:val="false"/>
          <w:color w:val="222222"/>
          <w:sz w:val="21"/>
          <w:szCs w:val="21"/>
        </w:rPr>
        <w:t xml:space="preserve">분석 항목 47개(동봉 엑셀 ‘분석항목×주기’ 시트)를 주기별로 세면 월간 36개, 분기 15개, 연간 23개입니다(중복 집계). 짧은 기간에 드러나는 이상·손실 신호가 많아 월간이 가장 많고, 수명·교체 시점처럼 투자 판단에 쓰이는 항목은 연간에 모여 있습니다.</w:t>
      </w:r>
    </w:p>
    <w:p>
      <w:pPr>
        <w:spacing w:after="100" w:before="40" w:line="312"/>
      </w:pPr>
      <w:r>
        <w:rPr>
          <w:rFonts w:ascii="Pretendard" w:cs="Pretendard" w:eastAsia="Pretendard" w:hAnsi="Pretendard"/>
          <w:b/>
          <w:bCs/>
          <w:color w:val="222222"/>
          <w:sz w:val="21"/>
          <w:szCs w:val="21"/>
        </w:rPr>
        <w:t xml:space="preserve">월간은 이상·손실을, 분기는 추세(잠정)를, 연간은 열화율·수명(확정)을 판정합니다.</w:t>
      </w:r>
    </w:p>
    <w:p>
      <w:pPr>
        <w:keepNext/>
        <w:spacing w:after="80" w:before="200" w:line="312"/>
      </w:pPr>
      <w:r>
        <w:rPr>
          <w:rFonts w:ascii="Pretendard" w:cs="Pretendard" w:eastAsia="Pretendard" w:hAnsi="Pretendard"/>
          <w:b/>
          <w:bCs/>
          <w:color w:val="4081ED"/>
          <w:sz w:val="26"/>
          <w:szCs w:val="26"/>
        </w:rPr>
        <w:t xml:space="preserve">주기별 판정 항목</w:t>
      </w:r>
    </w:p>
    <w:p>
      <w:pPr>
        <w:keepNext/>
        <w:spacing w:after="80" w:before="120" w:line="312"/>
      </w:pPr>
      <w:r>
        <w:rPr>
          <w:rFonts w:ascii="Pretendard" w:cs="Pretendard" w:eastAsia="Pretendard" w:hAnsi="Pretendard"/>
          <w:b/>
          <w:bCs/>
          <w:color w:val="4081ED"/>
          <w:sz w:val="20"/>
          <w:szCs w:val="20"/>
        </w:rPr>
        <w:t xml:space="preserve">[표 10] 분석 주기별 대표 판정 항목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7"/>
        <w:gridCol w:w="4470"/>
        <w:gridCol w:w="3025"/>
      </w:tblGrid>
      <w:tr>
        <w:trPr>
          <w:tblHeader/>
        </w:trPr>
        <w:tc>
          <w:tcPr>
            <w:tcW w:type="dxa" w:w="1577"/>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주기</w:t>
            </w:r>
          </w:p>
          <w:p>
            <w:pPr>
              <w:spacing w:after="0" w:before="0" w:line="264"/>
              <w:jc w:val="center"/>
            </w:pPr>
            <w:r>
              <w:rPr>
                <w:rFonts w:ascii="Pretendard" w:cs="Pretendard" w:eastAsia="Pretendard" w:hAnsi="Pretendard"/>
                <w:b/>
                <w:bCs/>
                <w:color w:val="222222"/>
                <w:sz w:val="18"/>
                <w:szCs w:val="18"/>
              </w:rPr>
              <w:t xml:space="preserve">(결과 성격)</w:t>
            </w:r>
          </w:p>
        </w:tc>
        <w:tc>
          <w:tcPr>
            <w:tcW w:type="dxa" w:w="4470"/>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대표 판정 항목</w:t>
            </w:r>
          </w:p>
        </w:tc>
        <w:tc>
          <w:tcPr>
            <w:tcW w:type="dxa" w:w="3025"/>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필요한 최소 데이터 기간</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월간 태양광·계통</w:t>
            </w:r>
          </w:p>
          <w:p>
            <w:pPr>
              <w:spacing w:after="0" w:before="0" w:line="264"/>
              <w:jc w:val="center"/>
            </w:pPr>
            <w:r>
              <w:rPr>
                <w:rFonts w:ascii="Pretendard" w:cs="Pretendard" w:eastAsia="Pretendard" w:hAnsi="Pretendard"/>
                <w:b w:val="false"/>
                <w:bCs w:val="false"/>
                <w:color w:val="222222"/>
                <w:sz w:val="18"/>
                <w:szCs w:val="18"/>
              </w:rPr>
              <w:t xml:space="preserve">(이상·손실)</w:t>
            </w:r>
          </w:p>
        </w:tc>
        <w:tc>
          <w:tcPr>
            <w:tcW w:type="dxa" w:w="447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발전량 대 기대치, PR·온도보정 PR, 가용률, 트립·알람 통계, 출력제어 손실 분리, 오염 알림</w:t>
            </w:r>
          </w:p>
        </w:tc>
        <w:tc>
          <w:tcPr>
            <w:tcW w:type="dxa" w:w="302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1개월(15분 이하 데이터)</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월간 ESS</w:t>
            </w:r>
          </w:p>
          <w:p>
            <w:pPr>
              <w:spacing w:after="0" w:before="0" w:line="264"/>
              <w:jc w:val="center"/>
            </w:pPr>
            <w:r>
              <w:rPr>
                <w:rFonts w:ascii="Pretendard" w:cs="Pretendard" w:eastAsia="Pretendard" w:hAnsi="Pretendard"/>
                <w:b w:val="false"/>
                <w:bCs w:val="false"/>
                <w:color w:val="222222"/>
                <w:sz w:val="18"/>
                <w:szCs w:val="18"/>
              </w:rPr>
              <w:t xml:space="preserve">(이상·손실·준수)</w:t>
            </w:r>
          </w:p>
        </w:tc>
        <w:tc>
          <w:tcPr>
            <w:tcW w:type="dxa" w:w="447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왕복효율(RTE), SOC 상한 준수, 셀 온도·편차 이상, 절연저항·보호동작</w:t>
            </w:r>
          </w:p>
        </w:tc>
        <w:tc>
          <w:tcPr>
            <w:tcW w:type="dxa" w:w="302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완전 충방전 1회 이상과 시작·종료 SOC(DOE FEMP 2023)</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월간 수소</w:t>
            </w:r>
          </w:p>
          <w:p>
            <w:pPr>
              <w:spacing w:after="0" w:before="0" w:line="264"/>
              <w:jc w:val="center"/>
            </w:pPr>
            <w:r>
              <w:rPr>
                <w:rFonts w:ascii="Pretendard" w:cs="Pretendard" w:eastAsia="Pretendard" w:hAnsi="Pretendard"/>
                <w:b w:val="false"/>
                <w:bCs w:val="false"/>
                <w:color w:val="222222"/>
                <w:sz w:val="18"/>
                <w:szCs w:val="18"/>
              </w:rPr>
              <w:t xml:space="preserve">(이상·손실)</w:t>
            </w:r>
          </w:p>
        </w:tc>
        <w:tc>
          <w:tcPr>
            <w:tcW w:type="dxa" w:w="447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전해조 kWh/kg(부하 구간별), 기동정지·OCV 대기, 순도·전도도, 압축기 kWh/kg, 검지기 드리프트, 연료전지 효율</w:t>
            </w:r>
          </w:p>
        </w:tc>
        <w:tc>
          <w:tcPr>
            <w:tcW w:type="dxa" w:w="302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1개월(1분 데이터)</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분기</w:t>
            </w:r>
          </w:p>
          <w:p>
            <w:pPr>
              <w:spacing w:after="0" w:before="0" w:line="264"/>
              <w:jc w:val="center"/>
            </w:pPr>
            <w:r>
              <w:rPr>
                <w:rFonts w:ascii="Pretendard" w:cs="Pretendard" w:eastAsia="Pretendard" w:hAnsi="Pretendard"/>
                <w:b w:val="false"/>
                <w:bCs w:val="false"/>
                <w:color w:val="222222"/>
                <w:sz w:val="18"/>
                <w:szCs w:val="18"/>
              </w:rPr>
              <w:t xml:space="preserve">(추세·잠정)</w:t>
            </w:r>
          </w:p>
        </w:tc>
        <w:tc>
          <w:tcPr>
            <w:tcW w:type="dxa" w:w="447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인버터 방열 온도차, 오염 계절 패턴, ESS 용량 추세, 전해조·연료전지 기준조건 전압 추세</w:t>
            </w:r>
          </w:p>
        </w:tc>
        <w:tc>
          <w:tcPr>
            <w:tcW w:type="dxa" w:w="302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같은 조건 구간 3개월</w:t>
            </w:r>
          </w:p>
          <w:p>
            <w:pPr>
              <w:spacing w:after="0" w:before="0" w:line="264"/>
              <w:jc w:val="left"/>
            </w:pPr>
            <w:r>
              <w:rPr>
                <w:rFonts w:ascii="Pretendard" w:cs="Pretendard" w:eastAsia="Pretendard" w:hAnsi="Pretendard"/>
                <w:b w:val="false"/>
                <w:bCs w:val="false"/>
                <w:color w:val="222222"/>
                <w:sz w:val="18"/>
                <w:szCs w:val="18"/>
              </w:rPr>
              <w:t xml:space="preserve">전해조는 초기 1,000 h 이후 1,000 h 이상(Clean Hydrogen JU AST 프로토콜)</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연간</w:t>
            </w:r>
          </w:p>
          <w:p>
            <w:pPr>
              <w:spacing w:after="0" w:before="0" w:line="264"/>
              <w:jc w:val="center"/>
            </w:pPr>
            <w:r>
              <w:rPr>
                <w:rFonts w:ascii="Pretendard" w:cs="Pretendard" w:eastAsia="Pretendard" w:hAnsi="Pretendard"/>
                <w:b w:val="false"/>
                <w:bCs w:val="false"/>
                <w:color w:val="222222"/>
                <w:sz w:val="18"/>
                <w:szCs w:val="18"/>
              </w:rPr>
              <w:t xml:space="preserve">(열화율·수명 확정)</w:t>
            </w:r>
          </w:p>
        </w:tc>
        <w:tc>
          <w:tcPr>
            <w:tcW w:type="dxa" w:w="447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PV 열화율(전년 비교), ESS 건강상태(SOH)·보강 시점, 스택 잔여수명·교체 시점, 계약 PR·가용률 평가</w:t>
            </w:r>
          </w:p>
        </w:tc>
        <w:tc>
          <w:tcPr>
            <w:tcW w:type="dxa" w:w="302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PV 24개월 이상, 신뢰값 3~5년(IEA PVPS T13-22)</w:t>
            </w:r>
          </w:p>
          <w:p>
            <w:pPr>
              <w:spacing w:after="0" w:before="0" w:line="264"/>
              <w:jc w:val="left"/>
            </w:pPr>
            <w:r>
              <w:rPr>
                <w:rFonts w:ascii="Pretendard" w:cs="Pretendard" w:eastAsia="Pretendard" w:hAnsi="Pretendard"/>
                <w:b w:val="false"/>
                <w:bCs w:val="false"/>
                <w:color w:val="222222"/>
                <w:sz w:val="18"/>
                <w:szCs w:val="18"/>
              </w:rPr>
              <w:t xml:space="preserve">스택 1년 이상</w:t>
            </w:r>
          </w:p>
        </w:tc>
      </w:tr>
      <w:tr>
        <w:tc>
          <w:tcPr>
            <w:tcW w:type="dxa" w:w="157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수시</w:t>
            </w:r>
          </w:p>
          <w:p>
            <w:pPr>
              <w:spacing w:after="0" w:before="0" w:line="264"/>
              <w:jc w:val="center"/>
            </w:pPr>
            <w:r>
              <w:rPr>
                <w:rFonts w:ascii="Pretendard" w:cs="Pretendard" w:eastAsia="Pretendard" w:hAnsi="Pretendard"/>
                <w:b w:val="false"/>
                <w:bCs w:val="false"/>
                <w:color w:val="222222"/>
                <w:sz w:val="18"/>
                <w:szCs w:val="18"/>
              </w:rPr>
              <w:t xml:space="preserve">(즉시 기록·보고)</w:t>
            </w:r>
          </w:p>
        </w:tc>
        <w:tc>
          <w:tcPr>
            <w:tcW w:type="dxa" w:w="447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한 달 안 PR·가용률 1% 초과 손실, ESS 절연 급락·BMS 보호동작, 수소 누출 경보·비상정지(대응은 현장 인터록·안전관리자)</w:t>
            </w:r>
          </w:p>
        </w:tc>
        <w:tc>
          <w:tcPr>
            <w:tcW w:type="dxa" w:w="302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이벤트 원자료(1% 기준: Solar Best Practices)</w:t>
            </w:r>
          </w:p>
        </w:tc>
      </w:tr>
    </w:tbl>
    <w:p>
      <w:pPr>
        <w:spacing w:after="80" w:before="40" w:line="312"/>
      </w:pPr>
      <w:r>
        <w:rPr>
          <w:rFonts w:ascii="Pretendard" w:cs="Pretendard" w:eastAsia="Pretendard" w:hAnsi="Pretendard"/>
          <w:b w:val="false"/>
          <w:bCs w:val="false"/>
          <w:color w:val="222222"/>
          <w:sz w:val="21"/>
          <w:szCs w:val="21"/>
        </w:rPr>
        <w:t xml:space="preserve"/>
      </w:r>
    </w:p>
    <w:p>
      <w:pPr>
        <w:keepNext/>
        <w:spacing w:after="80" w:before="200" w:line="312"/>
      </w:pPr>
      <w:r>
        <w:rPr>
          <w:rFonts w:ascii="Pretendard" w:cs="Pretendard" w:eastAsia="Pretendard" w:hAnsi="Pretendard"/>
          <w:b/>
          <w:bCs/>
          <w:color w:val="4081ED"/>
          <w:sz w:val="26"/>
          <w:szCs w:val="26"/>
        </w:rPr>
        <w:t xml:space="preserve">AI가 하는 일의 역할 분담</w:t>
      </w:r>
    </w:p>
    <w:p>
      <w:pPr>
        <w:spacing w:after="100" w:before="40" w:line="312"/>
      </w:pPr>
      <w:r>
        <w:rPr>
          <w:rFonts w:ascii="Pretendard" w:cs="Pretendard" w:eastAsia="Pretendard" w:hAnsi="Pretendard"/>
          <w:b w:val="false"/>
          <w:bCs w:val="false"/>
          <w:color w:val="222222"/>
          <w:sz w:val="21"/>
          <w:szCs w:val="21"/>
        </w:rPr>
        <w:t xml:space="preserve">‘AI 분석’은 한 가지 기술이 아니며, 복잡한 모델이 늘 좋은 것도 아닙니다. 전통 통계·머신러닝·딥러닝 이상 탐지 기법 16개를 실데이터 5종에서 비교한 연구에서 어느 계열도 일관되게 앞서지 못했으므로(Audibert 외 2022), 규칙·통계로 시작하고 기존 방식과 나란히 돌려 이득이 확인될 때만 더 복잡한 모델을 붙입니다.</w:t>
      </w:r>
    </w:p>
    <w:p>
      <w:pPr>
        <w:keepNext/>
        <w:spacing w:after="80" w:before="120" w:line="312"/>
      </w:pPr>
      <w:r>
        <w:rPr>
          <w:rFonts w:ascii="Pretendard" w:cs="Pretendard" w:eastAsia="Pretendard" w:hAnsi="Pretendard"/>
          <w:b/>
          <w:bCs/>
          <w:color w:val="4081ED"/>
          <w:sz w:val="20"/>
          <w:szCs w:val="20"/>
        </w:rPr>
        <w:t xml:space="preserve">[표 11] AI 분석 방법 유형별 역할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13"/>
        <w:gridCol w:w="2387"/>
        <w:gridCol w:w="2745"/>
        <w:gridCol w:w="2627"/>
      </w:tblGrid>
      <w:tr>
        <w:trPr>
          <w:tblHeader/>
        </w:trPr>
        <w:tc>
          <w:tcPr>
            <w:tcW w:type="dxa" w:w="1313"/>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방법 유형</w:t>
            </w:r>
          </w:p>
        </w:tc>
        <w:tc>
          <w:tcPr>
            <w:tcW w:type="dxa" w:w="2387"/>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하는 일</w:t>
            </w:r>
          </w:p>
        </w:tc>
        <w:tc>
          <w:tcPr>
            <w:tcW w:type="dxa" w:w="2745"/>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예시</w:t>
            </w:r>
          </w:p>
        </w:tc>
        <w:tc>
          <w:tcPr>
            <w:tcW w:type="dxa" w:w="2627"/>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필요한 데이터·주의</w:t>
            </w:r>
          </w:p>
        </w:tc>
      </w:tr>
      <w:tr>
        <w:tc>
          <w:tcPr>
            <w:tcW w:type="dxa" w:w="131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규칙·통계</w:t>
            </w:r>
          </w:p>
        </w:tc>
        <w:tc>
          <w:tcPr>
            <w:tcW w:type="dxa" w:w="238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데이터 품질 판정, 기대값 대비 차이 계산, 추세·변화점 탐지, 동종 비교</w:t>
            </w:r>
          </w:p>
        </w:tc>
        <w:tc>
          <w:tcPr>
            <w:tcW w:type="dxa" w:w="274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고착·결측 센서 걸러내기, PR·가용률 계산, 누적합 관리도(CUSUM) 경보, Theil–Sen 열화 추세</w:t>
            </w:r>
          </w:p>
        </w:tc>
        <w:tc>
          <w:tcPr>
            <w:tcW w:type="dxa" w:w="26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라벨 불필요, 수 주 데이터로 시작</w:t>
            </w:r>
          </w:p>
          <w:p>
            <w:pPr>
              <w:spacing w:after="0" w:before="0" w:line="264"/>
              <w:jc w:val="left"/>
            </w:pPr>
            <w:r>
              <w:rPr>
                <w:rFonts w:ascii="Pretendard" w:cs="Pretendard" w:eastAsia="Pretendard" w:hAnsi="Pretendard"/>
                <w:b w:val="false"/>
                <w:bCs w:val="false"/>
                <w:color w:val="222222"/>
                <w:sz w:val="18"/>
                <w:szCs w:val="18"/>
              </w:rPr>
              <w:t xml:space="preserve">같은 입력이면 같은 결과(모든 수치의 기준)</w:t>
            </w:r>
          </w:p>
        </w:tc>
      </w:tr>
      <w:tr>
        <w:tc>
          <w:tcPr>
            <w:tcW w:type="dxa" w:w="131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머신러닝</w:t>
            </w:r>
          </w:p>
        </w:tc>
        <w:tc>
          <w:tcPr>
            <w:tcW w:type="dxa" w:w="238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정상 거동 이탈 감시, 고장 원인 분류, 수명 확률 예측</w:t>
            </w:r>
          </w:p>
        </w:tc>
        <w:tc>
          <w:tcPr>
            <w:tcW w:type="dxa" w:w="274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인버터 온도 잔차 감시, 정비이력으로 고장 유형 분류, 가우시안 프로세스로 ESS SOH 예측</w:t>
            </w:r>
          </w:p>
        </w:tc>
        <w:tc>
          <w:tcPr>
            <w:tcW w:type="dxa" w:w="26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정상 구간 6~12개월(추정)</w:t>
            </w:r>
          </w:p>
          <w:p>
            <w:pPr>
              <w:spacing w:after="0" w:before="0" w:line="264"/>
              <w:jc w:val="left"/>
            </w:pPr>
            <w:r>
              <w:rPr>
                <w:rFonts w:ascii="Pretendard" w:cs="Pretendard" w:eastAsia="Pretendard" w:hAnsi="Pretendard"/>
                <w:b w:val="false"/>
                <w:bCs w:val="false"/>
                <w:color w:val="222222"/>
                <w:sz w:val="18"/>
                <w:szCs w:val="18"/>
              </w:rPr>
              <w:t xml:space="preserve">고장 분류는 정비이력 라벨 필요</w:t>
            </w:r>
          </w:p>
        </w:tc>
      </w:tr>
      <w:tr>
        <w:tc>
          <w:tcPr>
            <w:tcW w:type="dxa" w:w="131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딥러닝·비전</w:t>
            </w:r>
          </w:p>
        </w:tc>
        <w:tc>
          <w:tcPr>
            <w:tcW w:type="dxa" w:w="238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셀 전압 배열·영상처럼 차원이 큰 데이터의 패턴 탐지</w:t>
            </w:r>
          </w:p>
        </w:tc>
        <w:tc>
          <w:tcPr>
            <w:tcW w:type="dxa" w:w="274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오토인코더 이상 셀 탐지, 드론 열화상·EL(전계발광) 영상 결함 분류</w:t>
            </w:r>
          </w:p>
        </w:tc>
        <w:tc>
          <w:tcPr>
            <w:tcW w:type="dxa" w:w="26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라벨 영상·고해상도 데이터 필요</w:t>
            </w:r>
          </w:p>
          <w:p>
            <w:pPr>
              <w:spacing w:after="0" w:before="0" w:line="264"/>
              <w:jc w:val="left"/>
            </w:pPr>
            <w:r>
              <w:rPr>
                <w:rFonts w:ascii="Pretendard" w:cs="Pretendard" w:eastAsia="Pretendard" w:hAnsi="Pretendard"/>
                <w:b w:val="false"/>
                <w:bCs w:val="false"/>
                <w:color w:val="222222"/>
                <w:sz w:val="18"/>
                <w:szCs w:val="18"/>
              </w:rPr>
              <w:t xml:space="preserve">실험실 성능이 현장에서 낮을 수 있음</w:t>
            </w:r>
          </w:p>
        </w:tc>
      </w:tr>
      <w:tr>
        <w:tc>
          <w:tcPr>
            <w:tcW w:type="dxa" w:w="1313"/>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LLM</w:t>
            </w:r>
          </w:p>
          <w:p>
            <w:pPr>
              <w:spacing w:after="0" w:before="0" w:line="264"/>
              <w:jc w:val="center"/>
            </w:pPr>
            <w:r>
              <w:rPr>
                <w:rFonts w:ascii="Pretendard" w:cs="Pretendard" w:eastAsia="Pretendard" w:hAnsi="Pretendard"/>
                <w:b w:val="false"/>
                <w:bCs w:val="false"/>
                <w:color w:val="222222"/>
                <w:sz w:val="18"/>
                <w:szCs w:val="18"/>
              </w:rPr>
              <w:t xml:space="preserve">(대규모 언어모델)</w:t>
            </w:r>
          </w:p>
        </w:tc>
        <w:tc>
          <w:tcPr>
            <w:tcW w:type="dxa" w:w="238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계산된 결과 해석, 리포트 문장·조치 순서 설명, 정비일지 구조화</w:t>
            </w:r>
          </w:p>
        </w:tc>
        <w:tc>
          <w:tcPr>
            <w:tcW w:type="dxa" w:w="2745"/>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‘INV-03 트립 반복’의 원인 후보와 점검 순서를 문장으로 작성</w:t>
            </w:r>
          </w:p>
        </w:tc>
        <w:tc>
          <w:tcPr>
            <w:tcW w:type="dxa" w:w="2627"/>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숫자를 계산·생성하지 않음</w:t>
            </w:r>
          </w:p>
          <w:p>
            <w:pPr>
              <w:spacing w:after="0" w:before="0" w:line="264"/>
              <w:jc w:val="left"/>
            </w:pPr>
            <w:r>
              <w:rPr>
                <w:rFonts w:ascii="Pretendard" w:cs="Pretendard" w:eastAsia="Pretendard" w:hAnsi="Pretendard"/>
                <w:b w:val="false"/>
                <w:bCs w:val="false"/>
                <w:color w:val="222222"/>
                <w:sz w:val="18"/>
                <w:szCs w:val="18"/>
              </w:rPr>
              <w:t xml:space="preserve">인용·수치 일치 검증 후 사람이 승인해 발행</w:t>
            </w:r>
          </w:p>
        </w:tc>
      </w:tr>
    </w:tbl>
    <w:p>
      <w:pPr>
        <w:spacing w:after="160" w:before="60" w:line="312"/>
      </w:pPr>
      <w:r>
        <w:rPr>
          <w:rFonts w:ascii="Pretendard" w:cs="Pretendard" w:eastAsia="Pretendard" w:hAnsi="Pretendard"/>
          <w:b w:val="false"/>
          <w:bCs w:val="false"/>
          <w:color w:val="858585"/>
          <w:sz w:val="18"/>
          <w:szCs w:val="18"/>
        </w:rPr>
        <w:t xml:space="preserve">※ 모델 종류보다 오탐 관리가 실무 성능을 좌우합니다. NASA JPL 우주선(SMAP 위성·MSL 화성 탐사선) 원격측정 사례에서 경보 가지치기를 더하자 정밀도가 48.9%에서 87.5%로 올랐습니다(재현율 84.8% → 80.0%, Hundman 외 2018).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LLM은 계산하지 않고 설명합니다</w:t>
            </w:r>
          </w:p>
          <w:p>
            <w:pPr>
              <w:spacing w:after="40" w:before="0" w:line="312"/>
            </w:pPr>
            <w:r>
              <w:rPr>
                <w:rFonts w:ascii="Pretendard" w:cs="Pretendard" w:eastAsia="Pretendard" w:hAnsi="Pretendard"/>
                <w:b w:val="false"/>
                <w:bCs w:val="false"/>
                <w:color w:val="222222"/>
                <w:sz w:val="21"/>
                <w:szCs w:val="21"/>
              </w:rPr>
              <w:t xml:space="preserve">LLM 기반 시계열 예측 기법 3종에서 LLM 부분을 빼도 성능이 떨어지지 않았고 대부분 오히려 좋아졌습니다(Tan 외, NeurIPS 2024). 그래서 PR·용량·열화율·기대효과 금액은 같은 입력이면 늘 같은 결과를 내는 결정적 분석 엔진이 계산하고, LLM은 가공된 근거 묶음만 받아 결과를 문장으로 풀 뿐 순위·수치를 바꾸거나 설비를 제어하지 못합니다(설계 원칙).</w:t>
            </w:r>
          </w:p>
        </w:tc>
      </w:tr>
    </w:tbl>
    <w:p>
      <w:pPr>
        <w:spacing w:after="80" w:before="40" w:line="312"/>
      </w:pPr>
      <w:r>
        <w:rPr>
          <w:rFonts w:ascii="Pretendard" w:cs="Pretendard" w:eastAsia="Pretendard" w:hAnsi="Pretendard"/>
          <w:b w:val="false"/>
          <w:bCs w:val="false"/>
          <w:color w:val="222222"/>
          <w:sz w:val="21"/>
          <w:szCs w:val="21"/>
        </w:rPr>
        <w:t xml:space="preserve"/>
      </w:r>
    </w:p>
    <w:p>
      <w:pPr>
        <w:keepNext/>
        <w:spacing w:after="80" w:before="200" w:line="312"/>
      </w:pPr>
      <w:r>
        <w:rPr>
          <w:rFonts w:ascii="Pretendard" w:cs="Pretendard" w:eastAsia="Pretendard" w:hAnsi="Pretendard"/>
          <w:b/>
          <w:bCs/>
          <w:color w:val="4081ED"/>
          <w:sz w:val="26"/>
          <w:szCs w:val="26"/>
        </w:rPr>
        <w:t xml:space="preserve">분석 성숙도 단계</w:t>
      </w:r>
    </w:p>
    <w:p>
      <w:pPr>
        <w:spacing w:after="100" w:before="40" w:line="312"/>
      </w:pPr>
      <w:r>
        <w:rPr>
          <w:rFonts w:ascii="Pretendard" w:cs="Pretendard" w:eastAsia="Pretendard" w:hAnsi="Pretendard"/>
          <w:b w:val="false"/>
          <w:bCs w:val="false"/>
          <w:color w:val="222222"/>
          <w:sz w:val="21"/>
          <w:szCs w:val="21"/>
        </w:rPr>
        <w:t xml:space="preserve">분석 수준은 </w:t>
      </w:r>
      <w:r>
        <w:rPr>
          <w:rFonts w:ascii="Pretendard" w:cs="Pretendard" w:eastAsia="Pretendard" w:hAnsi="Pretendard"/>
          <w:b/>
          <w:bCs/>
          <w:color w:val="222222"/>
          <w:sz w:val="21"/>
          <w:szCs w:val="21"/>
        </w:rPr>
        <w:t xml:space="preserve">기술</w:t>
      </w:r>
      <w:r>
        <w:rPr>
          <w:rFonts w:ascii="Pretendard" w:cs="Pretendard" w:eastAsia="Pretendard" w:hAnsi="Pretendard"/>
          <w:b w:val="false"/>
          <w:bCs w:val="false"/>
          <w:color w:val="222222"/>
          <w:sz w:val="21"/>
          <w:szCs w:val="21"/>
        </w:rPr>
        <w:t xml:space="preserve">(무슨 일이 있었나) → </w:t>
      </w:r>
      <w:r>
        <w:rPr>
          <w:rFonts w:ascii="Pretendard" w:cs="Pretendard" w:eastAsia="Pretendard" w:hAnsi="Pretendard"/>
          <w:b/>
          <w:bCs/>
          <w:color w:val="222222"/>
          <w:sz w:val="21"/>
          <w:szCs w:val="21"/>
        </w:rPr>
        <w:t xml:space="preserve">진단</w:t>
      </w:r>
      <w:r>
        <w:rPr>
          <w:rFonts w:ascii="Pretendard" w:cs="Pretendard" w:eastAsia="Pretendard" w:hAnsi="Pretendard"/>
          <w:b w:val="false"/>
          <w:bCs w:val="false"/>
          <w:color w:val="222222"/>
          <w:sz w:val="21"/>
          <w:szCs w:val="21"/>
        </w:rPr>
        <w:t xml:space="preserve">(왜 그랬나) → </w:t>
      </w:r>
      <w:r>
        <w:rPr>
          <w:rFonts w:ascii="Pretendard" w:cs="Pretendard" w:eastAsia="Pretendard" w:hAnsi="Pretendard"/>
          <w:b/>
          <w:bCs/>
          <w:color w:val="222222"/>
          <w:sz w:val="21"/>
          <w:szCs w:val="21"/>
        </w:rPr>
        <w:t xml:space="preserve">예측</w:t>
      </w:r>
      <w:r>
        <w:rPr>
          <w:rFonts w:ascii="Pretendard" w:cs="Pretendard" w:eastAsia="Pretendard" w:hAnsi="Pretendard"/>
          <w:b w:val="false"/>
          <w:bCs w:val="false"/>
          <w:color w:val="222222"/>
          <w:sz w:val="21"/>
          <w:szCs w:val="21"/>
        </w:rPr>
        <w:t xml:space="preserve">(언제·얼마나 나빠지나) → </w:t>
      </w:r>
      <w:r>
        <w:rPr>
          <w:rFonts w:ascii="Pretendard" w:cs="Pretendard" w:eastAsia="Pretendard" w:hAnsi="Pretendard"/>
          <w:b/>
          <w:bCs/>
          <w:color w:val="222222"/>
          <w:sz w:val="21"/>
          <w:szCs w:val="21"/>
        </w:rPr>
        <w:t xml:space="preserve">처방</w:t>
      </w:r>
      <w:r>
        <w:rPr>
          <w:rFonts w:ascii="Pretendard" w:cs="Pretendard" w:eastAsia="Pretendard" w:hAnsi="Pretendard"/>
          <w:b w:val="false"/>
          <w:bCs w:val="false"/>
          <w:color w:val="222222"/>
          <w:sz w:val="21"/>
          <w:szCs w:val="21"/>
        </w:rPr>
        <w:t xml:space="preserve">(무엇을 언제 해야 하나)의 네 단계이며, 뒤 단계로 갈수록 더 긴 데이터와 정비이력 라벨이 필요합니다. 이번 조사에서 정리한 AI 분석 129건은 진단 52건(40%), 처방 39건(30%), 예측 27건(21%), 기술 11건(9%)이므로(비율은 계산, 동봉 엑셀 ‘AI 분석 방법’ 시트), 1년 차 기술·진단, 2년 차 예측, 3년 차 처방을 현실적인 도입 순서로 제안합니다.</w:t>
      </w:r>
    </w:p>
    <w:p>
      <w:pPr>
        <w:keepNext/>
        <w:spacing w:after="80" w:before="200" w:line="312"/>
      </w:pPr>
      <w:r>
        <w:rPr>
          <w:rFonts w:ascii="Pretendard" w:cs="Pretendard" w:eastAsia="Pretendard" w:hAnsi="Pretendard"/>
          <w:b/>
          <w:bCs/>
          <w:color w:val="4081ED"/>
          <w:sz w:val="26"/>
          <w:szCs w:val="26"/>
        </w:rPr>
        <w:t xml:space="preserve">데이터가 쌓이는 기간별로 가능해지는 분석</w:t>
      </w:r>
    </w:p>
    <w:p>
      <w:pPr>
        <w:keepNext/>
        <w:spacing w:after="80" w:before="120" w:line="312"/>
      </w:pPr>
      <w:r>
        <w:rPr>
          <w:rFonts w:ascii="Pretendard" w:cs="Pretendard" w:eastAsia="Pretendard" w:hAnsi="Pretendard"/>
          <w:b/>
          <w:bCs/>
          <w:color w:val="4081ED"/>
          <w:sz w:val="20"/>
          <w:szCs w:val="20"/>
        </w:rPr>
        <w:t xml:space="preserve">[표 12] 데이터 축적 기간별 분석 로드맵</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42"/>
        <w:gridCol w:w="3728"/>
        <w:gridCol w:w="2982"/>
        <w:gridCol w:w="1120"/>
      </w:tblGrid>
      <w:tr>
        <w:trPr>
          <w:tblHeader/>
        </w:trPr>
        <w:tc>
          <w:tcPr>
            <w:tcW w:type="dxa" w:w="1242"/>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축적 기간</w:t>
            </w:r>
          </w:p>
        </w:tc>
        <w:tc>
          <w:tcPr>
            <w:tcW w:type="dxa" w:w="3728"/>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가능해지는 분석</w:t>
            </w:r>
          </w:p>
        </w:tc>
        <w:tc>
          <w:tcPr>
            <w:tcW w:type="dxa" w:w="2982"/>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left"/>
            </w:pPr>
            <w:r>
              <w:rPr>
                <w:rFonts w:ascii="Pretendard" w:cs="Pretendard" w:eastAsia="Pretendard" w:hAnsi="Pretendard"/>
                <w:b/>
                <w:bCs/>
                <w:color w:val="222222"/>
                <w:sz w:val="18"/>
                <w:szCs w:val="18"/>
              </w:rPr>
              <w:t xml:space="preserve">아직 불가·주의</w:t>
            </w:r>
          </w:p>
        </w:tc>
        <w:tc>
          <w:tcPr>
            <w:tcW w:type="dxa" w:w="1120"/>
            <w:tcBorders>
              <w:top w:val="single" w:color="C9D0DA" w:sz="4"/>
              <w:left w:val="single" w:color="C9D0DA" w:sz="4"/>
              <w:bottom w:val="single" w:color="C9D0DA" w:sz="4"/>
              <w:right w:val="single" w:color="C9D0DA" w:sz="4"/>
            </w:tcBorders>
            <w:shd w:fill="DCE6F2" w:color="auto" w:val="clear"/>
            <w:tcMar>
              <w:top w:type="dxa" w:w="30"/>
              <w:left w:type="dxa" w:w="80"/>
              <w:bottom w:type="dxa" w:w="30"/>
              <w:right w:type="dxa" w:w="80"/>
            </w:tcMar>
            <w:vAlign w:val="center"/>
          </w:tcPr>
          <w:p>
            <w:pPr>
              <w:spacing w:after="0" w:before="0" w:line="264"/>
              <w:jc w:val="center"/>
            </w:pPr>
            <w:r>
              <w:rPr>
                <w:rFonts w:ascii="Pretendard" w:cs="Pretendard" w:eastAsia="Pretendard" w:hAnsi="Pretendard"/>
                <w:b/>
                <w:bCs/>
                <w:color w:val="222222"/>
                <w:sz w:val="18"/>
                <w:szCs w:val="18"/>
              </w:rPr>
              <w:t xml:space="preserve">분석 단계</w:t>
            </w:r>
          </w:p>
        </w:tc>
      </w:tr>
      <w:tr>
        <w:tc>
          <w:tcPr>
            <w:tcW w:type="dxa" w:w="124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0~3개월</w:t>
            </w:r>
          </w:p>
        </w:tc>
        <w:tc>
          <w:tcPr>
            <w:tcW w:type="dxa" w:w="372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데이터 품질 점검, 발전량 대 기대치·PR·가용률, 트립 통계, 출력제어 분리, ESS 왕복효율, 전해조 kWh/kg, 구간별 기준값 저장</w:t>
            </w:r>
          </w:p>
        </w:tc>
        <w:tc>
          <w:tcPr>
            <w:tcW w:type="dxa" w:w="298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열화율·수명 판정 금지. 전해조 기준점은 초기 1,000 h 활성화 뒤 설정(Clean Hydrogen JU AST 프로토콜)</w:t>
            </w:r>
          </w:p>
        </w:tc>
        <w:tc>
          <w:tcPr>
            <w:tcW w:type="dxa" w:w="11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기술</w:t>
            </w:r>
          </w:p>
        </w:tc>
      </w:tr>
      <w:tr>
        <w:tc>
          <w:tcPr>
            <w:tcW w:type="dxa" w:w="124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3~6개월</w:t>
            </w:r>
          </w:p>
        </w:tc>
        <w:tc>
          <w:tcPr>
            <w:tcW w:type="dxa" w:w="372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동종 비교 이상 탐지 안정화, 첫 오염 구간 분석(봄 황사·꽃가루), ESS 셀 편차·용량 잠정 추세</w:t>
            </w:r>
          </w:p>
        </w:tc>
        <w:tc>
          <w:tcPr>
            <w:tcW w:type="dxa" w:w="298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 용량 변화(월 약 0.25%p, 계산)가 계측 분해능과 겹침</w:t>
            </w:r>
          </w:p>
        </w:tc>
        <w:tc>
          <w:tcPr>
            <w:tcW w:type="dxa" w:w="11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진단</w:t>
            </w:r>
          </w:p>
        </w:tc>
      </w:tr>
      <w:tr>
        <w:tc>
          <w:tcPr>
            <w:tcW w:type="dxa" w:w="124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6~12개월</w:t>
            </w:r>
          </w:p>
        </w:tc>
        <w:tc>
          <w:tcPr>
            <w:tcW w:type="dxa" w:w="372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계절 1주기로 온도 영향 분리, 세척 비용편익 1차 최적화, 첫 연간 리포트, 전해조 첫 1,000 h 구간 열화율(태양광 연계 약 6개월 운전, 계산)</w:t>
            </w:r>
          </w:p>
        </w:tc>
        <w:tc>
          <w:tcPr>
            <w:tcW w:type="dxa" w:w="298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PV 전년 비교 불가(24개월 필요), 스택 잔여수명은 불확실성 큼</w:t>
            </w:r>
          </w:p>
        </w:tc>
        <w:tc>
          <w:tcPr>
            <w:tcW w:type="dxa" w:w="11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진단·</w:t>
            </w:r>
          </w:p>
          <w:p>
            <w:pPr>
              <w:spacing w:after="0" w:before="0" w:line="264"/>
              <w:jc w:val="center"/>
            </w:pPr>
            <w:r>
              <w:rPr>
                <w:rFonts w:ascii="Pretendard" w:cs="Pretendard" w:eastAsia="Pretendard" w:hAnsi="Pretendard"/>
                <w:b w:val="false"/>
                <w:bCs w:val="false"/>
                <w:color w:val="222222"/>
                <w:sz w:val="18"/>
                <w:szCs w:val="18"/>
              </w:rPr>
              <w:t xml:space="preserve">잠정 추세</w:t>
            </w:r>
          </w:p>
        </w:tc>
      </w:tr>
      <w:tr>
        <w:tc>
          <w:tcPr>
            <w:tcW w:type="dxa" w:w="124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12~24개월</w:t>
            </w:r>
          </w:p>
        </w:tc>
        <w:tc>
          <w:tcPr>
            <w:tcW w:type="dxa" w:w="372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전년 동월 비교, 전해조·연료전지 연간 열화율 확정, ESS 보강 시점 1차 예측, 조치 전후 효과 검증</w:t>
            </w:r>
          </w:p>
        </w:tc>
        <w:tc>
          <w:tcPr>
            <w:tcW w:type="dxa" w:w="298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ESS 고장 집중 구간(운전 2년, EPRI 2024)이 끝나기 전</w:t>
            </w:r>
          </w:p>
        </w:tc>
        <w:tc>
          <w:tcPr>
            <w:tcW w:type="dxa" w:w="11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예측</w:t>
            </w:r>
          </w:p>
          <w:p>
            <w:pPr>
              <w:spacing w:after="0" w:before="0" w:line="264"/>
              <w:jc w:val="center"/>
            </w:pPr>
            <w:r>
              <w:rPr>
                <w:rFonts w:ascii="Pretendard" w:cs="Pretendard" w:eastAsia="Pretendard" w:hAnsi="Pretendard"/>
                <w:b w:val="false"/>
                <w:bCs w:val="false"/>
                <w:color w:val="222222"/>
                <w:sz w:val="18"/>
                <w:szCs w:val="18"/>
              </w:rPr>
              <w:t xml:space="preserve">(초기)</w:t>
            </w:r>
          </w:p>
        </w:tc>
      </w:tr>
      <w:tr>
        <w:tc>
          <w:tcPr>
            <w:tcW w:type="dxa" w:w="124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24개월 이상</w:t>
            </w:r>
          </w:p>
        </w:tc>
        <w:tc>
          <w:tcPr>
            <w:tcW w:type="dxa" w:w="3728"/>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PV 전년 비교 열화율 첫 산출(24~36개월), 3~5년 이상에서 와이블 분석 기반 교체 예측, 스택 교체 시점 확정</w:t>
            </w:r>
          </w:p>
        </w:tc>
        <w:tc>
          <w:tcPr>
            <w:tcW w:type="dxa" w:w="2982"/>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left"/>
            </w:pPr>
            <w:r>
              <w:rPr>
                <w:rFonts w:ascii="Pretendard" w:cs="Pretendard" w:eastAsia="Pretendard" w:hAnsi="Pretendard"/>
                <w:b w:val="false"/>
                <w:bCs w:val="false"/>
                <w:color w:val="222222"/>
                <w:sz w:val="18"/>
                <w:szCs w:val="18"/>
              </w:rPr>
              <w:t xml:space="preserve">신뢰할 PV 열화율은 3~5년 필요(IEA PVPS T13-22)</w:t>
            </w:r>
          </w:p>
        </w:tc>
        <w:tc>
          <w:tcPr>
            <w:tcW w:type="dxa" w:w="1120"/>
            <w:tcBorders>
              <w:top w:val="single" w:color="C9D0DA" w:sz="4"/>
              <w:left w:val="single" w:color="C9D0DA" w:sz="4"/>
              <w:bottom w:val="single" w:color="C9D0DA" w:sz="4"/>
              <w:right w:val="single" w:color="C9D0DA" w:sz="4"/>
            </w:tcBorders>
            <w:tcMar>
              <w:top w:type="dxa" w:w="30"/>
              <w:left w:type="dxa" w:w="80"/>
              <w:bottom w:type="dxa" w:w="30"/>
              <w:right w:type="dxa" w:w="80"/>
            </w:tcMar>
            <w:vAlign w:val="center"/>
          </w:tcPr>
          <w:p>
            <w:pPr>
              <w:spacing w:after="0" w:before="0" w:line="264"/>
              <w:jc w:val="center"/>
            </w:pPr>
            <w:r>
              <w:rPr>
                <w:rFonts w:ascii="Pretendard" w:cs="Pretendard" w:eastAsia="Pretendard" w:hAnsi="Pretendard"/>
                <w:b w:val="false"/>
                <w:bCs w:val="false"/>
                <w:color w:val="222222"/>
                <w:sz w:val="18"/>
                <w:szCs w:val="18"/>
              </w:rPr>
              <w:t xml:space="preserve">예측·</w:t>
            </w:r>
          </w:p>
          <w:p>
            <w:pPr>
              <w:spacing w:after="0" w:before="0" w:line="264"/>
              <w:jc w:val="center"/>
            </w:pPr>
            <w:r>
              <w:rPr>
                <w:rFonts w:ascii="Pretendard" w:cs="Pretendard" w:eastAsia="Pretendard" w:hAnsi="Pretendard"/>
                <w:b w:val="false"/>
                <w:bCs w:val="false"/>
                <w:color w:val="222222"/>
                <w:sz w:val="18"/>
                <w:szCs w:val="18"/>
              </w:rPr>
              <w:t xml:space="preserve">처방</w:t>
            </w:r>
          </w:p>
        </w:tc>
      </w:tr>
    </w:tbl>
    <w:p>
      <w:pPr>
        <w:spacing w:after="160" w:before="60" w:line="312"/>
      </w:pPr>
      <w:r>
        <w:rPr>
          <w:rFonts w:ascii="Pretendard" w:cs="Pretendard" w:eastAsia="Pretendard" w:hAnsi="Pretendard"/>
          <w:b w:val="false"/>
          <w:bCs w:val="false"/>
          <w:color w:val="858585"/>
          <w:sz w:val="18"/>
          <w:szCs w:val="18"/>
        </w:rPr>
        <w:t xml:space="preserve">※ 전체 로드맵은 동봉 엑셀 ‘축적기간별 로드맵’ 시트에 있습니다.</w:t>
      </w:r>
    </w:p>
    <w:p>
      <w:pPr>
        <w:spacing w:after="100" w:before="40" w:line="312"/>
      </w:pPr>
      <w:r>
        <w:rPr>
          <w:rFonts w:ascii="Pretendard" w:cs="Pretendard" w:eastAsia="Pretendard" w:hAnsi="Pretendard"/>
          <w:b w:val="false"/>
          <w:bCs w:val="false"/>
          <w:color w:val="222222"/>
          <w:sz w:val="21"/>
          <w:szCs w:val="21"/>
        </w:rPr>
        <w:t xml:space="preserve">초기 1~2년 리포트는 열화 판정보다 이상·결함 탐지에 비중을 둬야 합니다. 연령이 알려진 ESS 고장의 72%가 시공·시운전·운전 2년 안에 발생했고(EPRI 2024), 태양광 인버터 가용률도 첫 6개월에 낮습니다(NREL 2024).</w:t>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6. 분석 리포트 예상안</w:t>
      </w:r>
    </w:p>
    <w:p>
      <w:pPr>
        <w:spacing w:after="100" w:before="40" w:line="312"/>
      </w:pPr>
      <w:r>
        <w:rPr>
          <w:rFonts w:ascii="Pretendard" w:cs="Pretendard" w:eastAsia="Pretendard" w:hAnsi="Pretendard"/>
          <w:b w:val="false"/>
          <w:bCs w:val="false"/>
          <w:color w:val="222222"/>
          <w:sz w:val="21"/>
          <w:szCs w:val="21"/>
        </w:rPr>
        <w:t xml:space="preserve">이 장은 AI 분석 결과를 발전소별 리포트로 쓰는 방식을 예시로 보여 줍니다. 월간 리포트는 현황과 이상을, 분기 리포트는 추세를(잠정), 연간 리포트는 수명과 교체를(확정) 판정합니다.</w:t>
      </w:r>
    </w:p>
    <w:p>
      <w:pPr>
        <w:keepNext/>
        <w:spacing w:after="80" w:before="200" w:line="312"/>
      </w:pPr>
      <w:r>
        <w:rPr>
          <w:rFonts w:ascii="Pretendard" w:cs="Pretendard" w:eastAsia="Pretendard" w:hAnsi="Pretendard"/>
          <w:b/>
          <w:bCs/>
          <w:color w:val="4081ED"/>
          <w:sz w:val="26"/>
          <w:szCs w:val="26"/>
        </w:rPr>
        <w:t xml:space="preserve">리포트 작성 원칙</w:t>
      </w:r>
    </w:p>
    <w:p>
      <w:pPr>
        <w:pStyle w:val="ListParagraph"/>
        <w:numPr>
          <w:ilvl w:val="0"/>
          <w:numId w:val="3"/>
        </w:numPr>
        <w:spacing w:after="60" w:before="0" w:line="300"/>
      </w:pPr>
      <w:r>
        <w:rPr>
          <w:rFonts w:ascii="Pretendard" w:cs="Pretendard" w:eastAsia="Pretendard" w:hAnsi="Pretendard"/>
          <w:b/>
          <w:bCs/>
          <w:sz w:val="21"/>
          <w:szCs w:val="21"/>
        </w:rPr>
        <w:t xml:space="preserve">잠정과 확정을 구분합니다.</w:t>
      </w:r>
      <w:r>
        <w:rPr>
          <w:rFonts w:ascii="Pretendard" w:cs="Pretendard" w:eastAsia="Pretendard" w:hAnsi="Pretendard"/>
          <w:sz w:val="21"/>
          <w:szCs w:val="21"/>
        </w:rPr>
        <w:t xml:space="preserve"> 분기 추세는 ‘잠정’, 연간·전년 대비(YoY) 결과는 ‘확정’으로 씁니다.</w:t>
      </w:r>
    </w:p>
    <w:p>
      <w:pPr>
        <w:pStyle w:val="ListParagraph"/>
        <w:numPr>
          <w:ilvl w:val="0"/>
          <w:numId w:val="3"/>
        </w:numPr>
        <w:spacing w:after="60" w:before="0" w:line="300"/>
      </w:pPr>
      <w:r>
        <w:rPr>
          <w:rFonts w:ascii="Pretendard" w:cs="Pretendard" w:eastAsia="Pretendard" w:hAnsi="Pretendard"/>
          <w:b/>
          <w:bCs/>
          <w:sz w:val="21"/>
          <w:szCs w:val="21"/>
        </w:rPr>
        <w:t xml:space="preserve">최소 데이터 기간에 못 미치면 ‘판정 보류’로 표시합니다.</w:t>
      </w:r>
      <w:r>
        <w:rPr>
          <w:rFonts w:ascii="Pretendard" w:cs="Pretendard" w:eastAsia="Pretendard" w:hAnsi="Pretendard"/>
          <w:sz w:val="21"/>
          <w:szCs w:val="21"/>
        </w:rPr>
        <w:t xml:space="preserve"> 예: PV 열화율 24개월 미만(IEA PVPS T13-22), 전해조 스택 초기 활성화 1,000 h 이전(Clean Hydrogen JU AST 프로토콜), ESS 효율 완전 충방전 1회 미만(DOE FEMP 2023).</w:t>
      </w:r>
    </w:p>
    <w:p>
      <w:pPr>
        <w:pStyle w:val="ListParagraph"/>
        <w:numPr>
          <w:ilvl w:val="0"/>
          <w:numId w:val="3"/>
        </w:numPr>
        <w:spacing w:after="60" w:before="0" w:line="300"/>
      </w:pPr>
      <w:r>
        <w:rPr>
          <w:rFonts w:ascii="Pretendard" w:cs="Pretendard" w:eastAsia="Pretendard" w:hAnsi="Pretendard"/>
          <w:b/>
          <w:bCs/>
          <w:sz w:val="21"/>
          <w:szCs w:val="21"/>
        </w:rPr>
        <w:t xml:space="preserve">같은 조건끼리 비교하고 그 조건을 적습니다.</w:t>
      </w:r>
      <w:r>
        <w:rPr>
          <w:rFonts w:ascii="Pretendard" w:cs="Pretendard" w:eastAsia="Pretendard" w:hAnsi="Pretendard"/>
          <w:sz w:val="21"/>
          <w:szCs w:val="21"/>
        </w:rPr>
        <w:t xml:space="preserve"> 부하·외기온도·일사 구간과 비교 기간을 문장에 함께 씁니다.</w:t>
      </w:r>
    </w:p>
    <w:p>
      <w:pPr>
        <w:pStyle w:val="ListParagraph"/>
        <w:numPr>
          <w:ilvl w:val="0"/>
          <w:numId w:val="3"/>
        </w:numPr>
        <w:spacing w:after="60" w:before="0" w:line="300"/>
      </w:pPr>
      <w:r>
        <w:rPr>
          <w:rFonts w:ascii="Pretendard" w:cs="Pretendard" w:eastAsia="Pretendard" w:hAnsi="Pretendard"/>
          <w:b/>
          <w:bCs/>
          <w:sz w:val="21"/>
          <w:szCs w:val="21"/>
        </w:rPr>
        <w:t xml:space="preserve">권고에는 기대효과와 검증 방법을 붙입니다.</w:t>
      </w:r>
      <w:r>
        <w:rPr>
          <w:rFonts w:ascii="Pretendard" w:cs="Pretendard" w:eastAsia="Pretendard" w:hAnsi="Pretendard"/>
          <w:sz w:val="21"/>
          <w:szCs w:val="21"/>
        </w:rPr>
        <w:t xml:space="preserve"> 효과 검증 기간은 PV 14~30일, ESS 5~10사이클, 스택 500~1,000 h를 제안합니다(설계 제안).</w:t>
      </w:r>
    </w:p>
    <w:p>
      <w:pPr>
        <w:pStyle w:val="ListParagraph"/>
        <w:numPr>
          <w:ilvl w:val="0"/>
          <w:numId w:val="3"/>
        </w:numPr>
        <w:spacing w:after="60" w:before="0" w:line="300"/>
      </w:pPr>
      <w:r>
        <w:rPr>
          <w:rFonts w:ascii="Pretendard" w:cs="Pretendard" w:eastAsia="Pretendard" w:hAnsi="Pretendard"/>
          <w:b/>
          <w:bCs/>
          <w:sz w:val="21"/>
          <w:szCs w:val="21"/>
        </w:rPr>
        <w:t xml:space="preserve">숫자는 계산 엔진이 만들고, LLM은 문장만 쓰도록 설계합니다(LLM 문장 작성은 후속 단계 적용 예정이며, 첫 단계 리포트는 통계·규칙 기반 템플릿으로 발행).</w:t>
      </w:r>
      <w:r>
        <w:rPr>
          <w:rFonts w:ascii="Pretendard" w:cs="Pretendard" w:eastAsia="Pretendard" w:hAnsi="Pretendard"/>
          <w:sz w:val="21"/>
          <w:szCs w:val="21"/>
        </w:rPr>
        <w:t xml:space="preserve"> 근거 검색을 붙인 상용 법률 AI도 17~33% 환각했으므로(Stanford 2024) 본문 숫자를 근거값과 자동 대조하고 담당자가 승인한 뒤 발행합니다.</w:t>
      </w:r>
    </w:p>
    <w:p>
      <w:pPr>
        <w:pStyle w:val="ListParagraph"/>
        <w:numPr>
          <w:ilvl w:val="0"/>
          <w:numId w:val="3"/>
        </w:numPr>
        <w:spacing w:after="60" w:before="0" w:line="300"/>
      </w:pPr>
      <w:r>
        <w:rPr>
          <w:rFonts w:ascii="Pretendard" w:cs="Pretendard" w:eastAsia="Pretendard" w:hAnsi="Pretendard"/>
          <w:b/>
          <w:bCs/>
          <w:sz w:val="21"/>
          <w:szCs w:val="21"/>
        </w:rPr>
        <w:t xml:space="preserve">안전 판단은 콘솔이 대신하지 않습니다.</w:t>
      </w:r>
      <w:r>
        <w:rPr>
          <w:rFonts w:ascii="Pretendard" w:cs="Pretendard" w:eastAsia="Pretendard" w:hAnsi="Pretendard"/>
          <w:sz w:val="21"/>
          <w:szCs w:val="21"/>
        </w:rPr>
        <w:t xml:space="preserve"> 가스 누출·비상정지·ESS 보호 동작은 현장 인터록과 안전관리자가 판단하고, 리포트는 기록과 원인 분석을 맡습니다.</w:t>
      </w:r>
    </w:p>
    <w:p>
      <w:pPr>
        <w:keepNext/>
        <w:spacing w:after="80" w:before="200" w:line="312"/>
      </w:pPr>
      <w:r>
        <w:rPr>
          <w:rFonts w:ascii="Pretendard" w:cs="Pretendard" w:eastAsia="Pretendard" w:hAnsi="Pretendard"/>
          <w:b/>
          <w:bCs/>
          <w:color w:val="4081ED"/>
          <w:sz w:val="26"/>
          <w:szCs w:val="26"/>
        </w:rPr>
        <w:t xml:space="preserve">월간 AI 분석 리포트 예시(가상 사이트 A·B)</w:t>
      </w:r>
    </w:p>
    <w:p>
      <w:pPr>
        <w:spacing w:after="100" w:before="40" w:line="312"/>
      </w:pPr>
      <w:r>
        <w:rPr>
          <w:rFonts w:ascii="Pretendard" w:cs="Pretendard" w:eastAsia="Pretendard" w:hAnsi="Pretendard"/>
          <w:b w:val="false"/>
          <w:bCs w:val="false"/>
          <w:color w:val="222222"/>
          <w:sz w:val="21"/>
          <w:szCs w:val="21"/>
        </w:rPr>
        <w:t xml:space="preserve">기본 구성은 아래 13개 섹션입니다(동봉 엑셀 ‘정기 리포트 구성’ 시트의 14개 중 ‘정비 이력’과 ‘예비품·보증·안전·보안’을 한 섹션으로 묶음). 가상 사이트 A(태양광 1 MWp + ESS 2 MWh)는 8~10번을 뺀 10개 섹션을, 가상 사이트 B(연계형: 태양광 2 MWp + ESS 1 MWh + PEM 전해조 500 kW + 압축·저장 + PEM 연료전지 200 kW)는 13개를 모두 씁니다.</w:t>
      </w:r>
    </w:p>
    <w:p>
      <w:pPr>
        <w:pStyle w:val="ListParagraph"/>
        <w:numPr>
          <w:ilvl w:val="0"/>
          <w:numId w:val="4"/>
        </w:numPr>
        <w:spacing w:after="60" w:before="0" w:line="300"/>
      </w:pPr>
      <w:r>
        <w:rPr>
          <w:rFonts w:ascii="Pretendard" w:cs="Pretendard" w:eastAsia="Pretendard" w:hAnsi="Pretendard"/>
          <w:b/>
          <w:bCs/>
          <w:sz w:val="21"/>
          <w:szCs w:val="21"/>
        </w:rPr>
        <w:t xml:space="preserve">요약</w:t>
      </w:r>
      <w:r>
        <w:rPr>
          <w:rFonts w:ascii="Pretendard" w:cs="Pretendard" w:eastAsia="Pretendard" w:hAnsi="Pretendard"/>
          <w:sz w:val="21"/>
          <w:szCs w:val="21"/>
        </w:rPr>
        <w:t xml:space="preserve">: 발전량·수소 생산량·연료전지 발전량의 기대치 대비 실적, 주요 이슈, 조치 요청</w:t>
      </w:r>
    </w:p>
    <w:p>
      <w:pPr>
        <w:pStyle w:val="ListParagraph"/>
        <w:numPr>
          <w:ilvl w:val="0"/>
          <w:numId w:val="4"/>
        </w:numPr>
        <w:spacing w:after="60" w:before="0" w:line="300"/>
      </w:pPr>
      <w:r>
        <w:rPr>
          <w:rFonts w:ascii="Pretendard" w:cs="Pretendard" w:eastAsia="Pretendard" w:hAnsi="Pretendard"/>
          <w:b/>
          <w:bCs/>
          <w:sz w:val="21"/>
          <w:szCs w:val="21"/>
        </w:rPr>
        <w:t xml:space="preserve">데이터 품질</w:t>
      </w:r>
      <w:r>
        <w:rPr>
          <w:rFonts w:ascii="Pretendard" w:cs="Pretendard" w:eastAsia="Pretendard" w:hAnsi="Pretendard"/>
          <w:sz w:val="21"/>
          <w:szCs w:val="21"/>
        </w:rPr>
        <w:t xml:space="preserve">: 결측·센서 이상 비율과 처리 방법</w:t>
      </w:r>
    </w:p>
    <w:p>
      <w:pPr>
        <w:pStyle w:val="ListParagraph"/>
        <w:numPr>
          <w:ilvl w:val="0"/>
          <w:numId w:val="4"/>
        </w:numPr>
        <w:spacing w:after="60" w:before="0" w:line="300"/>
      </w:pPr>
      <w:r>
        <w:rPr>
          <w:rFonts w:ascii="Pretendard" w:cs="Pretendard" w:eastAsia="Pretendard" w:hAnsi="Pretendard"/>
          <w:b/>
          <w:bCs/>
          <w:sz w:val="21"/>
          <w:szCs w:val="21"/>
        </w:rPr>
        <w:t xml:space="preserve">PV 성능</w:t>
      </w:r>
      <w:r>
        <w:rPr>
          <w:rFonts w:ascii="Pretendard" w:cs="Pretendard" w:eastAsia="Pretendard" w:hAnsi="Pretendard"/>
          <w:sz w:val="21"/>
          <w:szCs w:val="21"/>
        </w:rPr>
        <w:t xml:space="preserve">: 성능비(PR)·온도보정 PR, 인버터별 분해</w:t>
      </w:r>
    </w:p>
    <w:p>
      <w:pPr>
        <w:pStyle w:val="ListParagraph"/>
        <w:numPr>
          <w:ilvl w:val="0"/>
          <w:numId w:val="4"/>
        </w:numPr>
        <w:spacing w:after="60" w:before="0" w:line="300"/>
      </w:pPr>
      <w:r>
        <w:rPr>
          <w:rFonts w:ascii="Pretendard" w:cs="Pretendard" w:eastAsia="Pretendard" w:hAnsi="Pretendard"/>
          <w:b/>
          <w:bCs/>
          <w:sz w:val="21"/>
          <w:szCs w:val="21"/>
        </w:rPr>
        <w:t xml:space="preserve">가용률</w:t>
      </w:r>
      <w:r>
        <w:rPr>
          <w:rFonts w:ascii="Pretendard" w:cs="Pretendard" w:eastAsia="Pretendard" w:hAnsi="Pretendard"/>
          <w:sz w:val="21"/>
          <w:szCs w:val="21"/>
        </w:rPr>
        <w:t xml:space="preserve">: 시간·에너지 가용률(출력제어 등 외부요인 제외 여부 명시)</w:t>
      </w:r>
    </w:p>
    <w:p>
      <w:pPr>
        <w:pStyle w:val="ListParagraph"/>
        <w:numPr>
          <w:ilvl w:val="0"/>
          <w:numId w:val="4"/>
        </w:numPr>
        <w:spacing w:after="60" w:before="0" w:line="300"/>
      </w:pPr>
      <w:r>
        <w:rPr>
          <w:rFonts w:ascii="Pretendard" w:cs="Pretendard" w:eastAsia="Pretendard" w:hAnsi="Pretendard"/>
          <w:b/>
          <w:bCs/>
          <w:sz w:val="21"/>
          <w:szCs w:val="21"/>
        </w:rPr>
        <w:t xml:space="preserve">손실 분해</w:t>
      </w:r>
      <w:r>
        <w:rPr>
          <w:rFonts w:ascii="Pretendard" w:cs="Pretendard" w:eastAsia="Pretendard" w:hAnsi="Pretendard"/>
          <w:sz w:val="21"/>
          <w:szCs w:val="21"/>
        </w:rPr>
        <w:t xml:space="preserve">: 출력제어·트립·오염·온도·기타 잔차</w:t>
      </w:r>
    </w:p>
    <w:p>
      <w:pPr>
        <w:pStyle w:val="ListParagraph"/>
        <w:numPr>
          <w:ilvl w:val="0"/>
          <w:numId w:val="4"/>
        </w:numPr>
        <w:spacing w:after="60" w:before="0" w:line="300"/>
      </w:pPr>
      <w:r>
        <w:rPr>
          <w:rFonts w:ascii="Pretendard" w:cs="Pretendard" w:eastAsia="Pretendard" w:hAnsi="Pretendard"/>
          <w:b/>
          <w:bCs/>
          <w:sz w:val="21"/>
          <w:szCs w:val="21"/>
        </w:rPr>
        <w:t xml:space="preserve">알람·고장</w:t>
      </w:r>
      <w:r>
        <w:rPr>
          <w:rFonts w:ascii="Pretendard" w:cs="Pretendard" w:eastAsia="Pretendard" w:hAnsi="Pretendard"/>
          <w:sz w:val="21"/>
          <w:szCs w:val="21"/>
        </w:rPr>
        <w:t xml:space="preserve">: 코드별 건수·지속시간·손실, 조치 시간</w:t>
      </w:r>
    </w:p>
    <w:p>
      <w:pPr>
        <w:pStyle w:val="ListParagraph"/>
        <w:numPr>
          <w:ilvl w:val="0"/>
          <w:numId w:val="4"/>
        </w:numPr>
        <w:spacing w:after="60" w:before="0" w:line="300"/>
      </w:pPr>
      <w:r>
        <w:rPr>
          <w:rFonts w:ascii="Pretendard" w:cs="Pretendard" w:eastAsia="Pretendard" w:hAnsi="Pretendard"/>
          <w:b/>
          <w:bCs/>
          <w:sz w:val="21"/>
          <w:szCs w:val="21"/>
        </w:rPr>
        <w:t xml:space="preserve">ESS</w:t>
      </w:r>
      <w:r>
        <w:rPr>
          <w:rFonts w:ascii="Pretendard" w:cs="Pretendard" w:eastAsia="Pretendard" w:hAnsi="Pretendard"/>
          <w:sz w:val="21"/>
          <w:szCs w:val="21"/>
        </w:rPr>
        <w:t xml:space="preserve">: 왕복효율(RTE), 사이클·방전심도(DOD), 충전율(SOC) 운전창, 셀 편차, 절연 이벤트</w:t>
      </w:r>
    </w:p>
    <w:p>
      <w:pPr>
        <w:pStyle w:val="ListParagraph"/>
        <w:numPr>
          <w:ilvl w:val="0"/>
          <w:numId w:val="4"/>
        </w:numPr>
        <w:spacing w:after="60" w:before="0" w:line="300"/>
      </w:pPr>
      <w:r>
        <w:rPr>
          <w:rFonts w:ascii="Pretendard" w:cs="Pretendard" w:eastAsia="Pretendard" w:hAnsi="Pretendard"/>
          <w:b/>
          <w:bCs/>
          <w:sz w:val="21"/>
          <w:szCs w:val="21"/>
        </w:rPr>
        <w:t xml:space="preserve">전해조</w:t>
      </w:r>
      <w:r>
        <w:rPr>
          <w:rFonts w:ascii="Pretendard" w:cs="Pretendard" w:eastAsia="Pretendard" w:hAnsi="Pretendard"/>
          <w:sz w:val="21"/>
          <w:szCs w:val="21"/>
        </w:rPr>
        <w:t xml:space="preserve">: 운전시간·기동정지·개방회로전압(OCV) 대기, 부하 구간별 kWh/kg, 순도·전도도</w:t>
      </w:r>
    </w:p>
    <w:p>
      <w:pPr>
        <w:pStyle w:val="ListParagraph"/>
        <w:numPr>
          <w:ilvl w:val="0"/>
          <w:numId w:val="4"/>
        </w:numPr>
        <w:spacing w:after="60" w:before="0" w:line="300"/>
      </w:pPr>
      <w:r>
        <w:rPr>
          <w:rFonts w:ascii="Pretendard" w:cs="Pretendard" w:eastAsia="Pretendard" w:hAnsi="Pretendard"/>
          <w:b/>
          <w:bCs/>
          <w:sz w:val="21"/>
          <w:szCs w:val="21"/>
        </w:rPr>
        <w:t xml:space="preserve">압축·저장·안전</w:t>
      </w:r>
      <w:r>
        <w:rPr>
          <w:rFonts w:ascii="Pretendard" w:cs="Pretendard" w:eastAsia="Pretendard" w:hAnsi="Pretendard"/>
          <w:sz w:val="21"/>
          <w:szCs w:val="21"/>
        </w:rPr>
        <w:t xml:space="preserve">: 압축기 kWh/kg, 가스검지기 드리프트·경보, 누설 판정</w:t>
      </w:r>
    </w:p>
    <w:p>
      <w:pPr>
        <w:pStyle w:val="ListParagraph"/>
        <w:numPr>
          <w:ilvl w:val="0"/>
          <w:numId w:val="4"/>
        </w:numPr>
        <w:spacing w:after="60" w:before="0" w:line="300"/>
      </w:pPr>
      <w:r>
        <w:rPr>
          <w:rFonts w:ascii="Pretendard" w:cs="Pretendard" w:eastAsia="Pretendard" w:hAnsi="Pretendard"/>
          <w:b/>
          <w:bCs/>
          <w:sz w:val="21"/>
          <w:szCs w:val="21"/>
        </w:rPr>
        <w:t xml:space="preserve">연료전지</w:t>
      </w:r>
      <w:r>
        <w:rPr>
          <w:rFonts w:ascii="Pretendard" w:cs="Pretendard" w:eastAsia="Pretendard" w:hAnsi="Pretendard"/>
          <w:sz w:val="21"/>
          <w:szCs w:val="21"/>
        </w:rPr>
        <w:t xml:space="preserve">: 전기효율·수소원단위, 기동정지·부하변동, 가용률</w:t>
      </w:r>
    </w:p>
    <w:p>
      <w:pPr>
        <w:pStyle w:val="ListParagraph"/>
        <w:numPr>
          <w:ilvl w:val="0"/>
          <w:numId w:val="4"/>
        </w:numPr>
        <w:spacing w:after="60" w:before="0" w:line="300"/>
      </w:pPr>
      <w:r>
        <w:rPr>
          <w:rFonts w:ascii="Pretendard" w:cs="Pretendard" w:eastAsia="Pretendard" w:hAnsi="Pretendard"/>
          <w:b/>
          <w:bCs/>
          <w:sz w:val="21"/>
          <w:szCs w:val="21"/>
        </w:rPr>
        <w:t xml:space="preserve">정비·보증·안전</w:t>
      </w:r>
      <w:r>
        <w:rPr>
          <w:rFonts w:ascii="Pretendard" w:cs="Pretendard" w:eastAsia="Pretendard" w:hAnsi="Pretendard"/>
          <w:sz w:val="21"/>
          <w:szCs w:val="21"/>
        </w:rPr>
        <w:t xml:space="preserve">: 예방정비 실적, 예방:사후 정비 비율(모범 80:20, SolarPower Europe), 예비품·보증 청구, 안전·보안 사건</w:t>
      </w:r>
    </w:p>
    <w:p>
      <w:pPr>
        <w:pStyle w:val="ListParagraph"/>
        <w:numPr>
          <w:ilvl w:val="0"/>
          <w:numId w:val="4"/>
        </w:numPr>
        <w:spacing w:after="60" w:before="0" w:line="300"/>
      </w:pPr>
      <w:r>
        <w:rPr>
          <w:rFonts w:ascii="Pretendard" w:cs="Pretendard" w:eastAsia="Pretendard" w:hAnsi="Pretendard"/>
          <w:b/>
          <w:bCs/>
          <w:sz w:val="21"/>
          <w:szCs w:val="21"/>
        </w:rPr>
        <w:t xml:space="preserve">법정 캘린더</w:t>
      </w:r>
      <w:r>
        <w:rPr>
          <w:rFonts w:ascii="Pretendard" w:cs="Pretendard" w:eastAsia="Pretendard" w:hAnsi="Pretendard"/>
          <w:sz w:val="21"/>
          <w:szCs w:val="21"/>
        </w:rPr>
        <w:t xml:space="preserve">: 정기검사·재검사·교정 기한(D-day)</w:t>
      </w:r>
    </w:p>
    <w:p>
      <w:pPr>
        <w:pStyle w:val="ListParagraph"/>
        <w:numPr>
          <w:ilvl w:val="0"/>
          <w:numId w:val="4"/>
        </w:numPr>
        <w:spacing w:after="60" w:before="0" w:line="300"/>
      </w:pPr>
      <w:r>
        <w:rPr>
          <w:rFonts w:ascii="Pretendard" w:cs="Pretendard" w:eastAsia="Pretendard" w:hAnsi="Pretendard"/>
          <w:b/>
          <w:bCs/>
          <w:sz w:val="21"/>
          <w:szCs w:val="21"/>
        </w:rPr>
        <w:t xml:space="preserve">권고</w:t>
      </w:r>
      <w:r>
        <w:rPr>
          <w:rFonts w:ascii="Pretendard" w:cs="Pretendard" w:eastAsia="Pretendard" w:hAnsi="Pretendard"/>
          <w:sz w:val="21"/>
          <w:szCs w:val="21"/>
        </w:rPr>
        <w:t xml:space="preserve">: 조치·기대효과·검증 방법·우선순위</w:t>
      </w:r>
    </w:p>
    <w:p>
      <w:pPr>
        <w:spacing w:after="100" w:before="40" w:line="312"/>
      </w:pPr>
      <w:r>
        <w:rPr>
          <w:rFonts w:ascii="Pretendard" w:cs="Pretendard" w:eastAsia="Pretendard" w:hAnsi="Pretendard"/>
          <w:b w:val="false"/>
          <w:bCs w:val="false"/>
          <w:color w:val="858585"/>
          <w:sz w:val="20"/>
          <w:szCs w:val="20"/>
        </w:rPr>
        <w:t xml:space="preserve">※ 아래 문장 예시의 발전소와 수치는 모두 가상이며(예시), 괄호 안에 출처가 붙은 값만 공개 기준값입니다.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리포트 문장 예시 1. 가상 사이트 A, 운전 2년차 5월 월간(예시)</w:t>
            </w:r>
          </w:p>
          <w:p>
            <w:pPr>
              <w:spacing w:after="40" w:before="0" w:line="312"/>
            </w:pPr>
            <w:r>
              <w:rPr>
                <w:rFonts w:ascii="Pretendard" w:cs="Pretendard" w:eastAsia="Pretendard" w:hAnsi="Pretendard"/>
                <w:b w:val="false"/>
                <w:bCs w:val="false"/>
                <w:color w:val="222222"/>
                <w:sz w:val="21"/>
                <w:szCs w:val="21"/>
              </w:rPr>
              <w:t xml:space="preserve">[손실] 5월 발전량은 기상보정 기대치의 94.6%입니다. 출력제어 2.1%p, INV-03 트립 1.2%p, 오염 1.6%p(추정), 기타 0.5%p가 빠졌습니다(예시). INV-03 손실이 한 달 1%를 넘어 수시 리포트를 함께 발행했습니다(기준: Solar Best Practices).</w:t>
            </w:r>
          </w:p>
          <w:p>
            <w:pPr>
              <w:spacing w:after="40" w:before="0" w:line="312"/>
            </w:pPr>
            <w:r>
              <w:rPr>
                <w:rFonts w:ascii="Pretendard" w:cs="Pretendard" w:eastAsia="Pretendard" w:hAnsi="Pretendard"/>
                <w:b w:val="false"/>
                <w:bCs w:val="false"/>
                <w:color w:val="222222"/>
                <w:sz w:val="21"/>
                <w:szCs w:val="21"/>
              </w:rPr>
              <w:t xml:space="preserve">[ESS·권고] Rack-3 Module-11의 휴지 중 셀 전압 편차가 2개월 연속 커져 BMS 제조사에 점검을 요청합니다(예시). 모듈 세척(기대 회수량 월 약 2 MWh)을 권고하며, 세척 뒤 14~30일간 같은 일사 구간의 온도보정 PR로 효과를 검증합니다(예시).</w:t>
            </w:r>
          </w:p>
        </w:tc>
      </w:tr>
    </w:tbl>
    <w:p>
      <w:pPr>
        <w:spacing w:after="80" w:before="40" w:line="312"/>
      </w:pPr>
      <w:r>
        <w:rPr>
          <w:rFonts w:ascii="Pretendard" w:cs="Pretendard" w:eastAsia="Pretendard" w:hAnsi="Pretendard"/>
          <w:b w:val="false"/>
          <w:bCs w:val="false"/>
          <w:color w:val="222222"/>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리포트 문장 예시 2. 가상 사이트 B, 운전 2년차 5월 월간(예시)</w:t>
            </w:r>
          </w:p>
          <w:p>
            <w:pPr>
              <w:spacing w:after="40" w:before="0" w:line="312"/>
            </w:pPr>
            <w:r>
              <w:rPr>
                <w:rFonts w:ascii="Pretendard" w:cs="Pretendard" w:eastAsia="Pretendard" w:hAnsi="Pretendard"/>
                <w:b w:val="false"/>
                <w:bCs w:val="false"/>
                <w:color w:val="222222"/>
                <w:sz w:val="21"/>
                <w:szCs w:val="21"/>
              </w:rPr>
              <w:t xml:space="preserve">[전해조] 30~60% 부하 구간 비소비전력은 54.8 kWh/kg로 기준값보다 1.7% 높고, 15% 미만 저부하 운전이 18%였습니다(예시). 기동정지 62회, 보호 없는 OCV 대기 118 h이며(예시), OCV 대기가 열화를 키우므로(Weiß 2019, 실험실 셀) 정지 중 보호전위 유지를 검토합니다.</w:t>
            </w:r>
          </w:p>
          <w:p>
            <w:pPr>
              <w:spacing w:after="40" w:before="0" w:line="312"/>
            </w:pPr>
            <w:r>
              <w:rPr>
                <w:rFonts w:ascii="Pretendard" w:cs="Pretendard" w:eastAsia="Pretendard" w:hAnsi="Pretendard"/>
                <w:b w:val="false"/>
                <w:bCs w:val="false"/>
                <w:color w:val="222222"/>
                <w:sz w:val="21"/>
                <w:szCs w:val="21"/>
              </w:rPr>
              <w:t xml:space="preserve">[안전·법정] 자동차단밸브 V-101의 개폐 누적은 제조자 한도의 78%입니다(예시). 85%에서 경보, 90%에서 기동금지입니다(KGS AH271).</w:t>
            </w:r>
          </w:p>
        </w:tc>
      </w:tr>
    </w:tbl>
    <w:p>
      <w:pPr>
        <w:spacing w:after="80" w:before="40" w:line="312"/>
      </w:pPr>
      <w:r>
        <w:rPr>
          <w:rFonts w:ascii="Pretendard" w:cs="Pretendard" w:eastAsia="Pretendard" w:hAnsi="Pretendard"/>
          <w:b w:val="false"/>
          <w:bCs w:val="false"/>
          <w:color w:val="222222"/>
          <w:sz w:val="21"/>
          <w:szCs w:val="21"/>
        </w:rPr>
        <w:t xml:space="preserve"/>
      </w:r>
    </w:p>
    <w:p>
      <w:pPr>
        <w:keepNext/>
        <w:spacing w:after="80" w:before="200" w:line="312"/>
      </w:pPr>
      <w:r>
        <w:rPr>
          <w:rFonts w:ascii="Pretendard" w:cs="Pretendard" w:eastAsia="Pretendard" w:hAnsi="Pretendard"/>
          <w:b/>
          <w:bCs/>
          <w:color w:val="4081ED"/>
          <w:sz w:val="26"/>
          <w:szCs w:val="26"/>
        </w:rPr>
        <w:t xml:space="preserve">분기 리포트 예시</w:t>
      </w:r>
    </w:p>
    <w:p>
      <w:pPr>
        <w:spacing w:after="100" w:before="40" w:line="312"/>
      </w:pPr>
      <w:r>
        <w:rPr>
          <w:rFonts w:ascii="Pretendard" w:cs="Pretendard" w:eastAsia="Pretendard" w:hAnsi="Pretendard"/>
          <w:b w:val="false"/>
          <w:bCs w:val="false"/>
          <w:color w:val="222222"/>
          <w:sz w:val="21"/>
          <w:szCs w:val="21"/>
        </w:rPr>
        <w:t xml:space="preserve">분기 리포트는 월간 결과를 묶어 추세를 봅니다. 구성은 ① 분기 KPI 추세 ② 추세 진단(인버터 냉각·오염 계절 패턴) ③ ESS 용량 추세 ④ 스택 열화 감시 ⑤ 신뢰성(비계획 정비 비율) ⑥ 교정·소모품 ⑦ 개선과제 전후 비교입니다.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리포트 문장 예시 3. 운전 2년차 3분기(가상 사이트 A·B, 예시)</w:t>
            </w:r>
          </w:p>
          <w:p>
            <w:pPr>
              <w:spacing w:after="40" w:before="0" w:line="312"/>
            </w:pPr>
            <w:r>
              <w:rPr>
                <w:rFonts w:ascii="Pretendard" w:cs="Pretendard" w:eastAsia="Pretendard" w:hAnsi="Pretendard"/>
                <w:b w:val="false"/>
                <w:bCs w:val="false"/>
                <w:color w:val="222222"/>
                <w:sz w:val="21"/>
                <w:szCs w:val="21"/>
              </w:rPr>
              <w:t xml:space="preserve">[ESS 용량 추세, A] 같은 조건 세션 기준 실증 용량은 초기 대비 95.2%이고, 최근 4개 분기 추세는 연 −3.0%p입니다(잠정, 예시). 이 추세가 이어지면 80% 검토선 도달은 운전 8년차 전후입니다(계산, 예시).</w:t>
            </w:r>
          </w:p>
          <w:p>
            <w:pPr>
              <w:spacing w:after="40" w:before="0" w:line="312"/>
            </w:pPr>
            <w:r>
              <w:rPr>
                <w:rFonts w:ascii="Pretendard" w:cs="Pretendard" w:eastAsia="Pretendard" w:hAnsi="Pretendard"/>
                <w:b w:val="false"/>
                <w:bCs w:val="false"/>
                <w:color w:val="222222"/>
                <w:sz w:val="21"/>
                <w:szCs w:val="21"/>
              </w:rPr>
              <w:t xml:space="preserve">[스택 전압, B] 전해조는 활성화 구간 이후 2,100 h 동안 기준조건 셀 평균전압이 3.9 µV/h 올랐습니다(잠정, 예시). 보호전위 유지 운전 도입 뒤 OCV 대기는 월 118 h에서 9 h로 줄었고 셀 전압 상승률은 4.0에서 3.6 µV/h로 낮아졌으며(잠정, 예시), 확정 비교는 도입 뒤 1,000 h가 지나면 합니다.</w:t>
            </w:r>
          </w:p>
        </w:tc>
      </w:tr>
    </w:tbl>
    <w:p>
      <w:pPr>
        <w:spacing w:after="80" w:before="40" w:line="312"/>
      </w:pPr>
      <w:r>
        <w:rPr>
          <w:rFonts w:ascii="Pretendard" w:cs="Pretendard" w:eastAsia="Pretendard" w:hAnsi="Pretendard"/>
          <w:b w:val="false"/>
          <w:bCs w:val="false"/>
          <w:color w:val="222222"/>
          <w:sz w:val="21"/>
          <w:szCs w:val="21"/>
        </w:rPr>
        <w:t xml:space="preserve"/>
      </w:r>
    </w:p>
    <w:p>
      <w:pPr>
        <w:spacing w:after="100" w:before="40" w:line="312"/>
      </w:pPr>
      <w:r>
        <w:rPr>
          <w:rFonts w:ascii="Pretendard" w:cs="Pretendard" w:eastAsia="Pretendard" w:hAnsi="Pretendard"/>
          <w:b w:val="false"/>
          <w:bCs w:val="false"/>
          <w:color w:val="858585"/>
          <w:sz w:val="20"/>
          <w:szCs w:val="20"/>
        </w:rPr>
        <w:t xml:space="preserve">※ ESS 용량 추세 문장은 4장의 ESS 유효용량 추세 예시와 같은 가정(연 3%p 감소)을 씁니다. 연 3%p는 하루 1사이클·선형 가정의 월 약 0.25%p를 연으로 환산한 값입니다(계산, PNNL 2022 기반).</w:t>
      </w:r>
    </w:p>
    <w:p>
      <w:pPr>
        <w:keepNext/>
        <w:spacing w:after="80" w:before="200" w:line="312"/>
      </w:pPr>
      <w:r>
        <w:rPr>
          <w:rFonts w:ascii="Pretendard" w:cs="Pretendard" w:eastAsia="Pretendard" w:hAnsi="Pretendard"/>
          <w:b/>
          <w:bCs/>
          <w:color w:val="4081ED"/>
          <w:sz w:val="26"/>
          <w:szCs w:val="26"/>
        </w:rPr>
        <w:t xml:space="preserve">연간 리포트 예시</w:t>
      </w:r>
    </w:p>
    <w:p>
      <w:pPr>
        <w:spacing w:after="100" w:before="40" w:line="312"/>
      </w:pPr>
      <w:r>
        <w:rPr>
          <w:rFonts w:ascii="Pretendard" w:cs="Pretendard" w:eastAsia="Pretendard" w:hAnsi="Pretendard"/>
          <w:b w:val="false"/>
          <w:bCs w:val="false"/>
          <w:color w:val="222222"/>
          <w:sz w:val="21"/>
          <w:szCs w:val="21"/>
        </w:rPr>
        <w:t xml:space="preserve">연간 리포트는 계약 성과를 평가하고 수명·교체·예산을 확정합니다. 구성은 ① 연간 계약 KPI(계약 가용률 연 최소 98%가 모범사례, SolarPower Europe) ② 열화 판정 ③ 연간 손실 예산 ④ 신뢰성·교체 계획 ⑤ 정비계획 실적과 법정검사 결과 ⑥ 모니터링 체계 점검 ⑦ 정밀 진단 ⑧ 설비 개선 로드맵입니다.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리포트 문장 예시 4. 운전 3년차 연간(가상 사이트 A·B, 예시)</w:t>
            </w:r>
          </w:p>
          <w:p>
            <w:pPr>
              <w:spacing w:after="40" w:before="0" w:line="312"/>
            </w:pPr>
            <w:r>
              <w:rPr>
                <w:rFonts w:ascii="Pretendard" w:cs="Pretendard" w:eastAsia="Pretendard" w:hAnsi="Pretendard"/>
                <w:b w:val="false"/>
                <w:bCs w:val="false"/>
                <w:color w:val="222222"/>
                <w:sz w:val="21"/>
                <w:szCs w:val="21"/>
              </w:rPr>
              <w:t xml:space="preserve">[PV 열화율, A] 운전 36개월 데이터의 YoY 열화율은 −0.62%/년입니다(예시). 믿을 만한 값은 3~5년치가 필요하므로(IEA PVPS T13-22) 보증 열화 초과 여부는 1년 더 관측합니다.</w:t>
            </w:r>
          </w:p>
          <w:p>
            <w:pPr>
              <w:spacing w:after="40" w:before="0" w:line="312"/>
            </w:pPr>
            <w:r>
              <w:rPr>
                <w:rFonts w:ascii="Pretendard" w:cs="Pretendard" w:eastAsia="Pretendard" w:hAnsi="Pretendard"/>
                <w:b w:val="false"/>
                <w:bCs w:val="false"/>
                <w:color w:val="222222"/>
                <w:sz w:val="21"/>
                <w:szCs w:val="21"/>
              </w:rPr>
              <w:t xml:space="preserve">[스택 잔여수명, B] 연료전지 열화율은 1,000 h당 0.36%로 확정했습니다(누적 4,500 h, 예시). 순출력 10% 저하 기준(DOE 100 kW~3 MW 목표 정의)까지 약 2만 3,000 h, 연 1,500 h 운전이면 약 15년이 남았습니다(계산, 예시).</w:t>
            </w:r>
          </w:p>
          <w:p>
            <w:pPr>
              <w:spacing w:after="40" w:before="0" w:line="312"/>
            </w:pPr>
            <w:r>
              <w:rPr>
                <w:rFonts w:ascii="Pretendard" w:cs="Pretendard" w:eastAsia="Pretendard" w:hAnsi="Pretendard"/>
                <w:b w:val="false"/>
                <w:bCs w:val="false"/>
                <w:color w:val="222222"/>
                <w:sz w:val="21"/>
                <w:szCs w:val="21"/>
              </w:rPr>
              <w:t xml:space="preserve">[교체 적립금, A·B] 인버터는 평균고장간격이 약 11~12년이라 사업 수명 중간쯤 교체가 예상됩니다(IEA PVPS T13-25). 적립금은 ‘교체 견적 ÷ 교체까지 남은 햇수’로 산정해 차년도 예산에 넣습니다.</w:t>
            </w:r>
          </w:p>
        </w:tc>
      </w:tr>
    </w:tbl>
    <w:p>
      <w:pPr>
        <w:spacing w:after="80" w:before="40" w:line="312"/>
      </w:pPr>
      <w:r>
        <w:rPr>
          <w:rFonts w:ascii="Pretendard" w:cs="Pretendard" w:eastAsia="Pretendard" w:hAnsi="Pretendard"/>
          <w:b w:val="false"/>
          <w:bCs w:val="false"/>
          <w:color w:val="222222"/>
          <w:sz w:val="21"/>
          <w:szCs w:val="21"/>
        </w:rPr>
        <w:t xml:space="preserve"/>
      </w:r>
    </w:p>
    <w:p>
      <w:pPr>
        <w:keepNext/>
        <w:spacing w:after="80" w:before="200" w:line="312"/>
      </w:pPr>
      <w:r>
        <w:rPr>
          <w:rFonts w:ascii="Pretendard" w:cs="Pretendard" w:eastAsia="Pretendard" w:hAnsi="Pretendard"/>
          <w:b/>
          <w:bCs/>
          <w:color w:val="4081ED"/>
          <w:sz w:val="26"/>
          <w:szCs w:val="26"/>
        </w:rPr>
        <w:t xml:space="preserve">수시 리포트 트리거</w:t>
      </w:r>
    </w:p>
    <w:p>
      <w:pPr>
        <w:spacing w:after="100" w:before="40" w:line="312"/>
      </w:pPr>
      <w:r>
        <w:rPr>
          <w:rFonts w:ascii="Pretendard" w:cs="Pretendard" w:eastAsia="Pretendard" w:hAnsi="Pretendard"/>
          <w:b w:val="false"/>
          <w:bCs w:val="false"/>
          <w:color w:val="222222"/>
          <w:sz w:val="21"/>
          <w:szCs w:val="21"/>
        </w:rPr>
        <w:t xml:space="preserve">아래 경우에는 정기 리포트를 기다리지 않고 바로 발행합니다. 수시 리포트는 현장 비상대응 절차를 대신하지 않습니다.</w:t>
      </w:r>
    </w:p>
    <w:p>
      <w:pPr>
        <w:pStyle w:val="ListParagraph"/>
        <w:numPr>
          <w:ilvl w:val="0"/>
          <w:numId w:val="3"/>
        </w:numPr>
        <w:spacing w:after="60" w:before="0" w:line="300"/>
      </w:pPr>
      <w:r>
        <w:rPr>
          <w:rFonts w:ascii="Pretendard" w:cs="Pretendard" w:eastAsia="Pretendard" w:hAnsi="Pretendard"/>
          <w:b/>
          <w:bCs/>
          <w:sz w:val="21"/>
          <w:szCs w:val="21"/>
        </w:rPr>
        <w:t xml:space="preserve">한 달 안에 가용률 또는 PR 손실 1% 초과</w:t>
      </w:r>
      <w:r>
        <w:rPr>
          <w:rFonts w:ascii="Pretendard" w:cs="Pretendard" w:eastAsia="Pretendard" w:hAnsi="Pretendard"/>
          <w:sz w:val="21"/>
          <w:szCs w:val="21"/>
        </w:rPr>
        <w:t xml:space="preserve">: 조치 기록, 손실 추정, 원인, 해결 계획, 예비품·비용(Solar Best Practices)</w:t>
      </w:r>
    </w:p>
    <w:p>
      <w:pPr>
        <w:pStyle w:val="ListParagraph"/>
        <w:numPr>
          <w:ilvl w:val="0"/>
          <w:numId w:val="3"/>
        </w:numPr>
        <w:spacing w:after="60" w:before="0" w:line="300"/>
      </w:pPr>
      <w:r>
        <w:rPr>
          <w:rFonts w:ascii="Pretendard" w:cs="Pretendard" w:eastAsia="Pretendard" w:hAnsi="Pretendard"/>
          <w:b/>
          <w:bCs/>
          <w:sz w:val="21"/>
          <w:szCs w:val="21"/>
        </w:rPr>
        <w:t xml:space="preserve">ESS 절연저항 급락, BMS 보호 동작</w:t>
      </w:r>
      <w:r>
        <w:rPr>
          <w:rFonts w:ascii="Pretendard" w:cs="Pretendard" w:eastAsia="Pretendard" w:hAnsi="Pretendard"/>
          <w:sz w:val="21"/>
          <w:szCs w:val="21"/>
        </w:rPr>
        <w:t xml:space="preserve">: 운영데이터 기록(블랙박스) 보존과 조치 내역(정책브리핑 2020)</w:t>
      </w:r>
    </w:p>
    <w:p>
      <w:pPr>
        <w:pStyle w:val="ListParagraph"/>
        <w:numPr>
          <w:ilvl w:val="0"/>
          <w:numId w:val="3"/>
        </w:numPr>
        <w:spacing w:after="60" w:before="0" w:line="300"/>
      </w:pPr>
      <w:r>
        <w:rPr>
          <w:rFonts w:ascii="Pretendard" w:cs="Pretendard" w:eastAsia="Pretendard" w:hAnsi="Pretendard"/>
          <w:b/>
          <w:bCs/>
          <w:sz w:val="21"/>
          <w:szCs w:val="21"/>
        </w:rPr>
        <w:t xml:space="preserve">수소 누출 경보, 비상정지</w:t>
      </w:r>
      <w:r>
        <w:rPr>
          <w:rFonts w:ascii="Pretendard" w:cs="Pretendard" w:eastAsia="Pretendard" w:hAnsi="Pretendard"/>
          <w:sz w:val="21"/>
          <w:szCs w:val="21"/>
        </w:rPr>
        <w:t xml:space="preserve">: 비상대응·점검 기록, 원인 규명 뒤 재가동(EIGA Doc 246/23, KGS FU671)</w:t>
      </w:r>
    </w:p>
    <w:p>
      <w:pPr>
        <w:pStyle w:val="ListParagraph"/>
        <w:numPr>
          <w:ilvl w:val="0"/>
          <w:numId w:val="3"/>
        </w:numPr>
        <w:spacing w:after="60" w:before="0" w:line="300"/>
      </w:pPr>
      <w:r>
        <w:rPr>
          <w:rFonts w:ascii="Pretendard" w:cs="Pretendard" w:eastAsia="Pretendard" w:hAnsi="Pretendard"/>
          <w:b/>
          <w:bCs/>
          <w:sz w:val="21"/>
          <w:szCs w:val="21"/>
        </w:rPr>
        <w:t xml:space="preserve">자동차단밸브 개폐 누적이 제조자 한도의 85% 초과</w:t>
      </w:r>
      <w:r>
        <w:rPr>
          <w:rFonts w:ascii="Pretendard" w:cs="Pretendard" w:eastAsia="Pretendard" w:hAnsi="Pretendard"/>
          <w:sz w:val="21"/>
          <w:szCs w:val="21"/>
        </w:rPr>
        <w:t xml:space="preserve">: 교체 계획(90% 초과 시 기동금지, KGS AH271)</w:t>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7. 한계 및 전제</w:t>
      </w:r>
    </w:p>
    <w:p>
      <w:pPr>
        <w:spacing w:after="100" w:before="40" w:line="312"/>
      </w:pPr>
      <w:r>
        <w:rPr>
          <w:rFonts w:ascii="Pretendard" w:cs="Pretendard" w:eastAsia="Pretendard" w:hAnsi="Pretendard"/>
          <w:b w:val="false"/>
          <w:bCs w:val="false"/>
          <w:color w:val="222222"/>
          <w:sz w:val="21"/>
          <w:szCs w:val="21"/>
        </w:rPr>
        <w:t xml:space="preserve">이 문서는 실제 원시데이터 없이 만든 예상안입니다. 활용 전에 다음 한계와 전제를 확인해야 합니다.</w:t>
      </w:r>
    </w:p>
    <w:p>
      <w:pPr>
        <w:pStyle w:val="ListParagraph"/>
        <w:numPr>
          <w:ilvl w:val="0"/>
          <w:numId w:val="3"/>
        </w:numPr>
        <w:spacing w:after="60" w:before="0" w:line="300"/>
      </w:pPr>
      <w:r>
        <w:rPr>
          <w:rFonts w:ascii="Pretendard" w:cs="Pretendard" w:eastAsia="Pretendard" w:hAnsi="Pretendard"/>
          <w:b/>
          <w:bCs/>
          <w:sz w:val="21"/>
          <w:szCs w:val="21"/>
        </w:rPr>
        <w:t xml:space="preserve">실측이 아닌 문헌·표준 기반입니다.</w:t>
      </w:r>
      <w:r>
        <w:rPr>
          <w:rFonts w:ascii="Pretendard" w:cs="Pretendard" w:eastAsia="Pretendard" w:hAnsi="Pretendard"/>
          <w:sz w:val="21"/>
          <w:szCs w:val="21"/>
        </w:rPr>
        <w:t xml:space="preserve"> 수치는 NREL·IEA PVPS·DOE·PNNL·한국가스안전공사(KGS) 등 공개 자료의 대표값으로 설비·기후·운전 패턴에 따라 달라지며, 6장 예시의 발전소와 수치는 가상입니다.</w:t>
      </w:r>
    </w:p>
    <w:p>
      <w:pPr>
        <w:pStyle w:val="ListParagraph"/>
        <w:numPr>
          <w:ilvl w:val="0"/>
          <w:numId w:val="3"/>
        </w:numPr>
        <w:spacing w:after="60" w:before="0" w:line="300"/>
      </w:pPr>
      <w:r>
        <w:rPr>
          <w:rFonts w:ascii="Pretendard" w:cs="Pretendard" w:eastAsia="Pretendard" w:hAnsi="Pretendard"/>
          <w:b/>
          <w:bCs/>
          <w:sz w:val="21"/>
          <w:szCs w:val="21"/>
        </w:rPr>
        <w:t xml:space="preserve">제조사 매뉴얼이 없으면 소모품 주기는 추정입니다.</w:t>
      </w:r>
      <w:r>
        <w:rPr>
          <w:rFonts w:ascii="Pretendard" w:cs="Pretendard" w:eastAsia="Pretendard" w:hAnsi="Pretendard"/>
          <w:sz w:val="21"/>
          <w:szCs w:val="21"/>
        </w:rPr>
        <w:t xml:space="preserve"> 압축기 다이어프램·밸브, 이온교환수지·탈산소 촉매, 연료전지 가습기·블로워, 가스검지기 교정 주기는 설비 선정 뒤 확정합니다.</w:t>
      </w:r>
    </w:p>
    <w:p>
      <w:pPr>
        <w:pStyle w:val="ListParagraph"/>
        <w:numPr>
          <w:ilvl w:val="0"/>
          <w:numId w:val="3"/>
        </w:numPr>
        <w:spacing w:after="60" w:before="0" w:line="300"/>
      </w:pPr>
      <w:r>
        <w:rPr>
          <w:rFonts w:ascii="Pretendard" w:cs="Pretendard" w:eastAsia="Pretendard" w:hAnsi="Pretendard"/>
          <w:b/>
          <w:bCs/>
          <w:sz w:val="21"/>
          <w:szCs w:val="21"/>
        </w:rPr>
        <w:t xml:space="preserve">차량용 연구 계수는 정치형에 그대로 옮기지 않습니다.</w:t>
      </w:r>
      <w:r>
        <w:rPr>
          <w:rFonts w:ascii="Pretendard" w:cs="Pretendard" w:eastAsia="Pretendard" w:hAnsi="Pretendard"/>
          <w:sz w:val="21"/>
          <w:szCs w:val="21"/>
        </w:rPr>
        <w:t xml:space="preserve"> 연료전지 열화 기여도(부하변동 약 57%, 기동정지 약 33%)는 자동차 운전 연구의 2차 인용값이므로(Pei 2008) 정치형은 사이트 데이터로 다시 산정합니다.</w:t>
      </w:r>
    </w:p>
    <w:p>
      <w:pPr>
        <w:pStyle w:val="ListParagraph"/>
        <w:numPr>
          <w:ilvl w:val="0"/>
          <w:numId w:val="3"/>
        </w:numPr>
        <w:spacing w:after="60" w:before="0" w:line="300"/>
      </w:pPr>
      <w:r>
        <w:rPr>
          <w:rFonts w:ascii="Pretendard" w:cs="Pretendard" w:eastAsia="Pretendard" w:hAnsi="Pretendard"/>
          <w:b/>
          <w:bCs/>
          <w:sz w:val="21"/>
          <w:szCs w:val="21"/>
        </w:rPr>
        <w:t xml:space="preserve">법령 개정과 인허가 유형을 확인해야 합니다.</w:t>
      </w:r>
      <w:r>
        <w:rPr>
          <w:rFonts w:ascii="Pretendard" w:cs="Pretendard" w:eastAsia="Pretendard" w:hAnsi="Pretendard"/>
          <w:sz w:val="21"/>
          <w:szCs w:val="21"/>
        </w:rPr>
        <w:t xml:space="preserve"> 법정 주기는 2024~2026년 개정본 기준이며(전기안전관리법 시행규칙 별표4, 고압가스 안전관리법 시행규칙 별표19·22), 인허가 유형은 KGS 기술검토로 확정합니다.</w:t>
      </w:r>
    </w:p>
    <w:p>
      <w:pPr>
        <w:pStyle w:val="ListParagraph"/>
        <w:numPr>
          <w:ilvl w:val="0"/>
          <w:numId w:val="3"/>
        </w:numPr>
        <w:spacing w:after="60" w:before="0" w:line="300"/>
      </w:pPr>
      <w:r>
        <w:rPr>
          <w:rFonts w:ascii="Pretendard" w:cs="Pretendard" w:eastAsia="Pretendard" w:hAnsi="Pretendard"/>
          <w:b/>
          <w:bCs/>
          <w:sz w:val="21"/>
          <w:szCs w:val="21"/>
        </w:rPr>
        <w:t xml:space="preserve">벤더 데이터 접근권이 없으면 핵심 탐지를 할 수 없습니다.</w:t>
      </w:r>
      <w:r>
        <w:rPr>
          <w:rFonts w:ascii="Pretendard" w:cs="Pretendard" w:eastAsia="Pretendard" w:hAnsi="Pretendard"/>
          <w:sz w:val="21"/>
          <w:szCs w:val="21"/>
        </w:rPr>
        <w:t xml:space="preserve"> 셀 전압 배열, BMS 사고 기록, 알람 코드 사전이 계약에 없으면 스택 잔여수명과 이상 셀을 판정할 수 없습니다(SolarPower Europe, NREL 2019).</w:t>
      </w:r>
    </w:p>
    <w:p>
      <w:pPr>
        <w:pStyle w:val="ListParagraph"/>
        <w:numPr>
          <w:ilvl w:val="0"/>
          <w:numId w:val="3"/>
        </w:numPr>
        <w:spacing w:after="60" w:before="0" w:line="300"/>
      </w:pPr>
      <w:r>
        <w:rPr>
          <w:rFonts w:ascii="Pretendard" w:cs="Pretendard" w:eastAsia="Pretendard" w:hAnsi="Pretendard"/>
          <w:b/>
          <w:bCs/>
          <w:sz w:val="21"/>
          <w:szCs w:val="21"/>
        </w:rPr>
        <w:t xml:space="preserve">해외 AI 효과 수치는 할인해서 봅니다.</w:t>
      </w:r>
      <w:r>
        <w:rPr>
          <w:rFonts w:ascii="Pretendard" w:cs="Pretendard" w:eastAsia="Pretendard" w:hAnsi="Pretendard"/>
          <w:sz w:val="21"/>
          <w:szCs w:val="21"/>
        </w:rPr>
        <w:t xml:space="preserve"> 초기 계획은 해외 수치의 1/3~1/2로 잡고(추정) 파일럿 결과로 보정합니다.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EF3FC" w:sz="4"/>
              <w:left w:val="single" w:color="4081ED" w:sz="24"/>
              <w:bottom w:val="single" w:color="EEF3FC" w:sz="4"/>
              <w:right w:val="single" w:color="EEF3FC" w:sz="4"/>
            </w:tcBorders>
            <w:shd w:fill="EEF3FC" w:color="auto" w:val="clear"/>
            <w:tcMar>
              <w:top w:type="dxa" w:w="110"/>
              <w:left w:type="dxa" w:w="200"/>
              <w:bottom w:type="dxa" w:w="110"/>
              <w:right w:type="dxa" w:w="200"/>
            </w:tcMar>
          </w:tcPr>
          <w:p>
            <w:pPr>
              <w:spacing w:after="60" w:before="0" w:line="312"/>
            </w:pPr>
            <w:r>
              <w:rPr>
                <w:rFonts w:ascii="Pretendard" w:cs="Pretendard" w:eastAsia="Pretendard" w:hAnsi="Pretendard"/>
                <w:b/>
                <w:bCs/>
                <w:color w:val="4081ED"/>
                <w:sz w:val="22"/>
                <w:szCs w:val="22"/>
              </w:rPr>
              <w:t xml:space="preserve">갱신 계획</w:t>
            </w:r>
          </w:p>
          <w:p>
            <w:pPr>
              <w:spacing w:after="40" w:before="0" w:line="312"/>
            </w:pPr>
            <w:r>
              <w:rPr>
                <w:rFonts w:ascii="Pretendard" w:cs="Pretendard" w:eastAsia="Pretendard" w:hAnsi="Pretendard"/>
                <w:b w:val="false"/>
                <w:bCs w:val="false"/>
                <w:color w:val="222222"/>
                <w:sz w:val="21"/>
                <w:szCs w:val="21"/>
              </w:rPr>
              <w:t xml:space="preserve">파일럿 사이트의 3개월 기준값이 쌓이면 월간 판정 임계값을 실측값으로 바꾸고, 설비 선정 뒤 제조사 매뉴얼과 계약서로 ‘추정’ 항목을 확정합니다. 법령·인허가는 매년, 리포트 구성과 판정 기준은 운전 12개월(전년 동월 비교 시작)과 24개월(PV YoY 첫 추정) 시점에 다시 검토합니다.</w:t>
            </w:r>
          </w:p>
        </w:tc>
      </w:tr>
    </w:tbl>
    <w:p>
      <w:pPr>
        <w:spacing w:after="80" w:before="40" w:line="312"/>
      </w:pPr>
      <w:r>
        <w:rPr>
          <w:rFonts w:ascii="Pretendard" w:cs="Pretendard" w:eastAsia="Pretendard" w:hAnsi="Pretendard"/>
          <w:b w:val="false"/>
          <w:bCs w:val="false"/>
          <w:color w:val="222222"/>
          <w:sz w:val="21"/>
          <w:szCs w:val="21"/>
        </w:rPr>
        <w:t xml:space="preserve"/>
      </w:r>
    </w:p>
    <w:p>
      <w:pPr>
        <w:pStyle w:val="Heading1"/>
        <w:keepNext/>
        <w:pBdr>
          <w:bottom w:val="single" w:color="4081ED" w:sz="6" w:space="4"/>
        </w:pBdr>
        <w:spacing w:after="160" w:before="320"/>
      </w:pPr>
      <w:r>
        <w:rPr>
          <w:rFonts w:ascii="Pretendard" w:cs="Pretendard" w:eastAsia="Pretendard" w:hAnsi="Pretendard"/>
          <w:b/>
          <w:bCs/>
          <w:color w:val="4081ED"/>
          <w:sz w:val="34"/>
          <w:szCs w:val="34"/>
        </w:rPr>
        <w:t xml:space="preserve">8. 결론 및 다음 단계</w:t>
      </w:r>
    </w:p>
    <w:p>
      <w:pPr>
        <w:spacing w:after="100" w:before="40" w:line="312"/>
      </w:pPr>
      <w:r>
        <w:rPr>
          <w:rFonts w:ascii="Pretendard" w:cs="Pretendard" w:eastAsia="Pretendard" w:hAnsi="Pretendard"/>
          <w:b/>
          <w:bCs/>
          <w:color w:val="222222"/>
          <w:sz w:val="21"/>
          <w:szCs w:val="21"/>
        </w:rPr>
        <w:t xml:space="preserve">보통 받는 데이터 189개를 같은 조건으로 쌓고 주기별로 판정 수준을 나누면, 발전소별 노후와 개선 여지를 근거와 함께 설명할 수 있습니다.</w:t>
      </w:r>
    </w:p>
    <w:p>
      <w:pPr>
        <w:keepNext/>
        <w:spacing w:after="80" w:before="200" w:line="312"/>
      </w:pPr>
      <w:r>
        <w:rPr>
          <w:rFonts w:ascii="Pretendard" w:cs="Pretendard" w:eastAsia="Pretendard" w:hAnsi="Pretendard"/>
          <w:b/>
          <w:bCs/>
          <w:color w:val="4081ED"/>
          <w:sz w:val="26"/>
          <w:szCs w:val="26"/>
        </w:rPr>
        <w:t xml:space="preserve">결론</w:t>
      </w:r>
    </w:p>
    <w:p>
      <w:pPr>
        <w:pStyle w:val="ListParagraph"/>
        <w:numPr>
          <w:ilvl w:val="0"/>
          <w:numId w:val="3"/>
        </w:numPr>
        <w:spacing w:after="60" w:before="0" w:line="300"/>
      </w:pPr>
      <w:r>
        <w:rPr>
          <w:rFonts w:ascii="Pretendard" w:cs="Pretendard" w:eastAsia="Pretendard" w:hAnsi="Pretendard"/>
          <w:b/>
          <w:bCs/>
          <w:sz w:val="21"/>
          <w:szCs w:val="21"/>
        </w:rPr>
        <w:t xml:space="preserve">어떤 데이터를 받는가</w:t>
      </w:r>
      <w:r>
        <w:rPr>
          <w:rFonts w:ascii="Pretendard" w:cs="Pretendard" w:eastAsia="Pretendard" w:hAnsi="Pretendard"/>
          <w:sz w:val="21"/>
          <w:szCs w:val="21"/>
        </w:rPr>
        <w:t xml:space="preserve">: 7개 분야에서 보통 받는 데이터는 189개(필수 115·권장 61·선택 13)입니다. 여기에 정비이력·알람코드·법정 점검기록 같은 운영·비정형 데이터 131개 행이 더해집니다(동봉 엑셀 ‘수집데이터_전력’·‘수집데이터_수소’·‘운영·비정형 데이터’ 시트).</w:t>
      </w:r>
    </w:p>
    <w:p>
      <w:pPr>
        <w:pStyle w:val="ListParagraph"/>
        <w:numPr>
          <w:ilvl w:val="0"/>
          <w:numId w:val="3"/>
        </w:numPr>
        <w:spacing w:after="60" w:before="0" w:line="300"/>
      </w:pPr>
      <w:r>
        <w:rPr>
          <w:rFonts w:ascii="Pretendard" w:cs="Pretendard" w:eastAsia="Pretendard" w:hAnsi="Pretendard"/>
          <w:b/>
          <w:bCs/>
          <w:sz w:val="21"/>
          <w:szCs w:val="21"/>
        </w:rPr>
        <w:t xml:space="preserve">수명과 개선 여지는 어떻게 아는가</w:t>
      </w:r>
      <w:r>
        <w:rPr>
          <w:rFonts w:ascii="Pretendard" w:cs="Pretendard" w:eastAsia="Pretendard" w:hAnsi="Pretendard"/>
          <w:sz w:val="21"/>
          <w:szCs w:val="21"/>
        </w:rPr>
        <w:t xml:space="preserve">: 같은 조건 기준값 대비 변화를 설계수명·목표값과 비교합니다. 기준은 PV 사업 수명 30년 가정(NREL ATB 2024), LFP 캘린더 수명 16년(PNNL 2022), PEM 전해조 스택 80,000 h(DOE 2026 목표) 등입니다. 개선 여지는 손실 분해와 운전 패턴(기동정지·OCV 대기·저부하)에서 찾습니다.</w:t>
      </w:r>
    </w:p>
    <w:p>
      <w:pPr>
        <w:pStyle w:val="ListParagraph"/>
        <w:numPr>
          <w:ilvl w:val="0"/>
          <w:numId w:val="3"/>
        </w:numPr>
        <w:spacing w:after="60" w:before="0" w:line="300"/>
      </w:pPr>
      <w:r>
        <w:rPr>
          <w:rFonts w:ascii="Pretendard" w:cs="Pretendard" w:eastAsia="Pretendard" w:hAnsi="Pretendard"/>
          <w:b/>
          <w:bCs/>
          <w:sz w:val="21"/>
          <w:szCs w:val="21"/>
        </w:rPr>
        <w:t xml:space="preserve">주기별로 무엇을 아는가</w:t>
      </w:r>
      <w:r>
        <w:rPr>
          <w:rFonts w:ascii="Pretendard" w:cs="Pretendard" w:eastAsia="Pretendard" w:hAnsi="Pretendard"/>
          <w:sz w:val="21"/>
          <w:szCs w:val="21"/>
        </w:rPr>
        <w:t xml:space="preserve">: 분석 항목 47개 중 월간 판정 36개, 분기 15개, 연간 23개입니다(동봉 엑셀 ‘분석항목×주기’ 시트, 중복 포함). 월간은 성과·가용률·알람·법정 기한, 분기는 ESS 용량·스택 전압 추세(잠정), 연간은 PV 열화율·스택 잔여수명·교체 적립금(확정)을 다룹니다.</w:t>
      </w:r>
    </w:p>
    <w:p>
      <w:pPr>
        <w:pStyle w:val="ListParagraph"/>
        <w:numPr>
          <w:ilvl w:val="0"/>
          <w:numId w:val="3"/>
        </w:numPr>
        <w:spacing w:after="60" w:before="0" w:line="300"/>
      </w:pPr>
      <w:r>
        <w:rPr>
          <w:rFonts w:ascii="Pretendard" w:cs="Pretendard" w:eastAsia="Pretendard" w:hAnsi="Pretendard"/>
          <w:b/>
          <w:bCs/>
          <w:sz w:val="21"/>
          <w:szCs w:val="21"/>
        </w:rPr>
        <w:t xml:space="preserve">전제 조건이 있습니다</w:t>
      </w:r>
      <w:r>
        <w:rPr>
          <w:rFonts w:ascii="Pretendard" w:cs="Pretendard" w:eastAsia="Pretendard" w:hAnsi="Pretendard"/>
          <w:sz w:val="21"/>
          <w:szCs w:val="21"/>
        </w:rPr>
        <w:t xml:space="preserve">: 데이터 계약, 정비이력 표준, 초기 기준값이 없으면 리포트 대부분이 ‘판정 보류’로 남습니다.</w:t>
      </w:r>
    </w:p>
    <w:p>
      <w:pPr>
        <w:keepNext/>
        <w:spacing w:after="80" w:before="200" w:line="312"/>
      </w:pPr>
      <w:r>
        <w:rPr>
          <w:rFonts w:ascii="Pretendard" w:cs="Pretendard" w:eastAsia="Pretendard" w:hAnsi="Pretendard"/>
          <w:b/>
          <w:bCs/>
          <w:color w:val="4081ED"/>
          <w:sz w:val="26"/>
          <w:szCs w:val="26"/>
        </w:rPr>
        <w:t xml:space="preserve">다음 단계</w:t>
      </w:r>
    </w:p>
    <w:p>
      <w:pPr>
        <w:pStyle w:val="ListParagraph"/>
        <w:numPr>
          <w:ilvl w:val="0"/>
          <w:numId w:val="5"/>
        </w:numPr>
        <w:spacing w:after="60" w:before="0" w:line="300"/>
      </w:pPr>
      <w:r>
        <w:rPr>
          <w:rFonts w:ascii="Pretendard" w:cs="Pretendard" w:eastAsia="Pretendard" w:hAnsi="Pretendard"/>
          <w:b/>
          <w:bCs/>
          <w:sz w:val="21"/>
          <w:szCs w:val="21"/>
        </w:rPr>
        <w:t xml:space="preserve">데이터 계약 협의</w:t>
      </w:r>
      <w:r>
        <w:rPr>
          <w:rFonts w:ascii="Pretendard" w:cs="Pretendard" w:eastAsia="Pretendard" w:hAnsi="Pretendard"/>
          <w:sz w:val="21"/>
          <w:szCs w:val="21"/>
        </w:rPr>
        <w:t xml:space="preserve">: 벤더·수집 게이트웨이 업체와 필수 데이터 115개를 중심으로 데이터 소유권, 태그·알람 코드 사전, 최소 해상도, 읽기 전용 수집 허용을 협의합니다. 수소 설비는 구매계약 전에 넣습니다.</w:t>
      </w:r>
    </w:p>
    <w:p>
      <w:pPr>
        <w:pStyle w:val="ListParagraph"/>
        <w:numPr>
          <w:ilvl w:val="0"/>
          <w:numId w:val="5"/>
        </w:numPr>
        <w:spacing w:after="60" w:before="0" w:line="300"/>
      </w:pPr>
      <w:r>
        <w:rPr>
          <w:rFonts w:ascii="Pretendard" w:cs="Pretendard" w:eastAsia="Pretendard" w:hAnsi="Pretendard"/>
          <w:b/>
          <w:bCs/>
          <w:sz w:val="21"/>
          <w:szCs w:val="21"/>
        </w:rPr>
        <w:t xml:space="preserve">정비이력·알람코드 표준 양식 확정</w:t>
      </w:r>
      <w:r>
        <w:rPr>
          <w:rFonts w:ascii="Pretendard" w:cs="Pretendard" w:eastAsia="Pretendard" w:hAnsi="Pretendard"/>
          <w:sz w:val="21"/>
          <w:szCs w:val="21"/>
        </w:rPr>
        <w:t xml:space="preserve">: 작업지시 최소 필드(설비 ID, 증상, 정지 시작·종료, 조치, 교체 부품)와 벤더 알람의 공통 분류 규칙을 정합니다.</w:t>
      </w:r>
    </w:p>
    <w:p>
      <w:pPr>
        <w:pStyle w:val="ListParagraph"/>
        <w:numPr>
          <w:ilvl w:val="0"/>
          <w:numId w:val="5"/>
        </w:numPr>
        <w:spacing w:after="60" w:before="0" w:line="300"/>
      </w:pPr>
      <w:r>
        <w:rPr>
          <w:rFonts w:ascii="Pretendard" w:cs="Pretendard" w:eastAsia="Pretendard" w:hAnsi="Pretendard"/>
          <w:b/>
          <w:bCs/>
          <w:sz w:val="21"/>
          <w:szCs w:val="21"/>
        </w:rPr>
        <w:t xml:space="preserve">파일럿 사이트 선정과 3개월 기준값 수집</w:t>
      </w:r>
      <w:r>
        <w:rPr>
          <w:rFonts w:ascii="Pretendard" w:cs="Pretendard" w:eastAsia="Pretendard" w:hAnsi="Pretendard"/>
          <w:sz w:val="21"/>
          <w:szCs w:val="21"/>
        </w:rPr>
        <w:t xml:space="preserve">: 부하·온도·일사 구간별 기준값을 모으고 데이터 품질을 점검합니다.</w:t>
      </w:r>
    </w:p>
    <w:p>
      <w:pPr>
        <w:pStyle w:val="ListParagraph"/>
        <w:numPr>
          <w:ilvl w:val="0"/>
          <w:numId w:val="5"/>
        </w:numPr>
        <w:spacing w:after="60" w:before="0" w:line="300"/>
      </w:pPr>
      <w:r>
        <w:rPr>
          <w:rFonts w:ascii="Pretendard" w:cs="Pretendard" w:eastAsia="Pretendard" w:hAnsi="Pretendard"/>
          <w:b/>
          <w:bCs/>
          <w:sz w:val="21"/>
          <w:szCs w:val="21"/>
        </w:rPr>
        <w:t xml:space="preserve">월간 리포트 시범 발행 후 분기 추세 리포트로 확대</w:t>
      </w:r>
      <w:r>
        <w:rPr>
          <w:rFonts w:ascii="Pretendard" w:cs="Pretendard" w:eastAsia="Pretendard" w:hAnsi="Pretendard"/>
          <w:sz w:val="21"/>
          <w:szCs w:val="21"/>
        </w:rPr>
        <w:t xml:space="preserve">: 6장 작성 원칙을 적용하고, 담당자 의견으로 문장과 임계값을 다듬습니다.</w:t>
      </w:r>
    </w:p>
    <w:p>
      <w:pPr>
        <w:pStyle w:val="ListParagraph"/>
        <w:numPr>
          <w:ilvl w:val="0"/>
          <w:numId w:val="5"/>
        </w:numPr>
        <w:spacing w:after="60" w:before="0" w:line="300"/>
      </w:pPr>
      <w:r>
        <w:rPr>
          <w:rFonts w:ascii="Pretendard" w:cs="Pretendard" w:eastAsia="Pretendard" w:hAnsi="Pretendard"/>
          <w:b/>
          <w:bCs/>
          <w:sz w:val="21"/>
          <w:szCs w:val="21"/>
        </w:rPr>
        <w:t xml:space="preserve">HySol Desk 콘솔 반영</w:t>
      </w:r>
      <w:r>
        <w:rPr>
          <w:rFonts w:ascii="Pretendard" w:cs="Pretendard" w:eastAsia="Pretendard" w:hAnsi="Pretendard"/>
          <w:sz w:val="21"/>
          <w:szCs w:val="21"/>
        </w:rPr>
        <w:t xml:space="preserve">: 검증된 리포트 구성과 판정 규칙을 발전소별 화면과 리포트 기능에 넣습니다.</w:t>
      </w:r>
    </w:p>
    <w:p>
      <w:pPr>
        <w:sectPr>
          <w:footerReference w:type="default" r:id="rId7"/>
          <w:pgSz w:w="12240" w:h="15840" w:orient="portrait"/>
          <w:pgMar w:top="1440" w:right="1584" w:bottom="1440" w:left="1584" w:header="708" w:footer="708" w:gutter="0"/>
          <w:pgNumType w:start="1"/>
          <w:docGrid w:linePitch="360"/>
        </w:sectPr>
      </w:pPr>
    </w:p>
    <w:p>
      <w:pPr>
        <w:pStyle w:val="Heading1"/>
        <w:keepNext/>
        <w:pBdr>
          <w:bottom w:val="single" w:color="4081ED" w:sz="6" w:space="4"/>
        </w:pBdr>
        <w:spacing w:after="160" w:before="40"/>
      </w:pPr>
      <w:r>
        <w:rPr>
          <w:rFonts w:ascii="Pretendard" w:cs="Pretendard" w:eastAsia="Pretendard" w:hAnsi="Pretendard"/>
          <w:b/>
          <w:bCs/>
          <w:color w:val="4081ED"/>
          <w:sz w:val="34"/>
          <w:szCs w:val="34"/>
        </w:rPr>
        <w:t xml:space="preserve">부록. 주요 출처</w:t>
      </w:r>
    </w:p>
    <w:p>
      <w:pPr>
        <w:spacing w:after="100" w:before="40" w:line="312"/>
      </w:pPr>
      <w:r>
        <w:rPr>
          <w:rFonts w:ascii="Pretendard" w:cs="Pretendard" w:eastAsia="Pretendard" w:hAnsi="Pretendard"/>
          <w:b w:val="false"/>
          <w:bCs w:val="false"/>
          <w:color w:val="858585"/>
          <w:sz w:val="20"/>
          <w:szCs w:val="20"/>
        </w:rPr>
        <w:t xml:space="preserve">※ 본문 괄호 안 짧은 출처 표기 중 주요 원문을 실었습니다. 나머지를 포함한 전체 출처 485행은 동봉 엑셀 ‘출처’ 시트에 있습니다. 전체 출처 485행은 동봉 엑셀 ‘출처’ 시트에 있습니다.</w:t>
      </w:r>
    </w:p>
    <w:p>
      <w:pPr>
        <w:spacing w:after="40" w:before="0" w:line="264"/>
      </w:pPr>
      <w:r>
        <w:rPr>
          <w:rFonts w:ascii="Pretendard" w:cs="Pretendard" w:eastAsia="Pretendard" w:hAnsi="Pretendard"/>
          <w:color w:val="222222"/>
          <w:sz w:val="17"/>
          <w:szCs w:val="17"/>
        </w:rPr>
        <w:t xml:space="preserve">[1] NREL, Best Practices for Operation and Maintenance of PV and Energy Storage Systems, 3rd Ed. (2019) </w:t>
      </w:r>
      <w:hyperlink w:history="1" r:id="rIdfgo0g4_f6pa9nhdezslse">
        <w:r>
          <w:rPr>
            <w:rFonts w:ascii="Pretendard" w:cs="Pretendard" w:eastAsia="Pretendard" w:hAnsi="Pretendard"/>
            <w:color w:val="4081ED"/>
            <w:sz w:val="16"/>
            <w:szCs w:val="16"/>
          </w:rPr>
          <w:t xml:space="preserve">https://docs.nlr.gov/docs/fy19osti/73822.pdf</w:t>
        </w:r>
      </w:hyperlink>
    </w:p>
    <w:p>
      <w:pPr>
        <w:spacing w:after="40" w:before="0" w:line="264"/>
      </w:pPr>
      <w:r>
        <w:rPr>
          <w:rFonts w:ascii="Pretendard" w:cs="Pretendard" w:eastAsia="Pretendard" w:hAnsi="Pretendard"/>
          <w:color w:val="222222"/>
          <w:sz w:val="17"/>
          <w:szCs w:val="17"/>
        </w:rPr>
        <w:t xml:space="preserve">[2] NREL, Availability and Performance Loss Factors for U.S. PV Fleet Systems (FY24) </w:t>
      </w:r>
      <w:hyperlink w:history="1" r:id="rIdlsnmtg6mxquzd3pyx3ytt">
        <w:r>
          <w:rPr>
            <w:rFonts w:ascii="Pretendard" w:cs="Pretendard" w:eastAsia="Pretendard" w:hAnsi="Pretendard"/>
            <w:color w:val="4081ED"/>
            <w:sz w:val="16"/>
            <w:szCs w:val="16"/>
          </w:rPr>
          <w:t xml:space="preserve">https://docs.nlr.gov/docs/fy24osti/88769.pdf</w:t>
        </w:r>
      </w:hyperlink>
    </w:p>
    <w:p>
      <w:pPr>
        <w:spacing w:after="40" w:before="0" w:line="264"/>
      </w:pPr>
      <w:r>
        <w:rPr>
          <w:rFonts w:ascii="Pretendard" w:cs="Pretendard" w:eastAsia="Pretendard" w:hAnsi="Pretendard"/>
          <w:color w:val="222222"/>
          <w:sz w:val="17"/>
          <w:szCs w:val="17"/>
        </w:rPr>
        <w:t xml:space="preserve">[3] IEA PVPS T13-22:2021, Assessment of Performance Loss Rate of PV Power Systems </w:t>
      </w:r>
      <w:hyperlink w:history="1" r:id="rIdcydsuf82fp6bpenao6mmo">
        <w:r>
          <w:rPr>
            <w:rFonts w:ascii="Pretendard" w:cs="Pretendard" w:eastAsia="Pretendard" w:hAnsi="Pretendard"/>
            <w:color w:val="4081ED"/>
            <w:sz w:val="16"/>
            <w:szCs w:val="16"/>
          </w:rPr>
          <w:t xml:space="preserve">https://iea-pvps.org/wp-content/uploads/2021/04/IEA-PVPS-T13-22_2021-Assessment-of-Performance-Loss-Rate-of-PV-Power-Systems-report.pdf</w:t>
        </w:r>
      </w:hyperlink>
    </w:p>
    <w:p>
      <w:pPr>
        <w:spacing w:after="40" w:before="0" w:line="264"/>
      </w:pPr>
      <w:r>
        <w:rPr>
          <w:rFonts w:ascii="Pretendard" w:cs="Pretendard" w:eastAsia="Pretendard" w:hAnsi="Pretendard"/>
          <w:color w:val="222222"/>
          <w:sz w:val="17"/>
          <w:szCs w:val="17"/>
        </w:rPr>
        <w:t xml:space="preserve">[4] IEA PVPS T13-21:2022, Soiling Losses (한국어 번역본) </w:t>
      </w:r>
      <w:hyperlink w:history="1" r:id="rIdi0j2ipefhnac7tidoli7p">
        <w:r>
          <w:rPr>
            <w:rFonts w:ascii="Pretendard" w:cs="Pretendard" w:eastAsia="Pretendard" w:hAnsi="Pretendard"/>
            <w:color w:val="4081ED"/>
            <w:sz w:val="16"/>
            <w:szCs w:val="16"/>
          </w:rPr>
          <w:t xml:space="preserve">https://iea-pvps.org/wp-content/uploads/2023/01/Korean-Translation-Report-IEA-PVPS-T13-21_2022-Soiling-Losses.pdf</w:t>
        </w:r>
      </w:hyperlink>
    </w:p>
    <w:p>
      <w:pPr>
        <w:spacing w:after="40" w:before="0" w:line="264"/>
      </w:pPr>
      <w:r>
        <w:rPr>
          <w:rFonts w:ascii="Pretendard" w:cs="Pretendard" w:eastAsia="Pretendard" w:hAnsi="Pretendard"/>
          <w:color w:val="222222"/>
          <w:sz w:val="17"/>
          <w:szCs w:val="17"/>
        </w:rPr>
        <w:t xml:space="preserve">[5] IEA PVPS T13-25:2022, Guidelines for Operation and Maintenance of PV Power Plants in Different Climates </w:t>
      </w:r>
      <w:hyperlink w:history="1" r:id="rId__wgfw5jbvsu1ggc1ptjk">
        <w:r>
          <w:rPr>
            <w:rFonts w:ascii="Pretendard" w:cs="Pretendard" w:eastAsia="Pretendard" w:hAnsi="Pretendard"/>
            <w:color w:val="4081ED"/>
            <w:sz w:val="16"/>
            <w:szCs w:val="16"/>
          </w:rPr>
          <w:t xml:space="preserve">https://iea-pvps.org/wp-content/uploads/2022/11/IEA-PVPS-Report-T13-25-2022-OandM-Guidelines.pdf</w:t>
        </w:r>
      </w:hyperlink>
    </w:p>
    <w:p>
      <w:pPr>
        <w:spacing w:after="40" w:before="0" w:line="264"/>
      </w:pPr>
      <w:r>
        <w:rPr>
          <w:rFonts w:ascii="Pretendard" w:cs="Pretendard" w:eastAsia="Pretendard" w:hAnsi="Pretendard"/>
          <w:color w:val="222222"/>
          <w:sz w:val="17"/>
          <w:szCs w:val="17"/>
        </w:rPr>
        <w:t xml:space="preserve">[6] SolarPower Europe, O&amp;M Best Practice Guidelines v6.0 </w:t>
      </w:r>
      <w:hyperlink w:history="1" r:id="rIdgep26vmhxd2pefnsoxgmk">
        <w:r>
          <w:rPr>
            <w:rFonts w:ascii="Pretendard" w:cs="Pretendard" w:eastAsia="Pretendard" w:hAnsi="Pretendard"/>
            <w:color w:val="4081ED"/>
            <w:sz w:val="16"/>
            <w:szCs w:val="16"/>
          </w:rPr>
          <w:t xml:space="preserve">https://www.solarpowereurope.org/insights/thematic-reports/operation-and-maintenance-best-practice-guidelines-version-6-0-1</w:t>
        </w:r>
      </w:hyperlink>
    </w:p>
    <w:p>
      <w:pPr>
        <w:spacing w:after="40" w:before="0" w:line="264"/>
      </w:pPr>
      <w:r>
        <w:rPr>
          <w:rFonts w:ascii="Pretendard" w:cs="Pretendard" w:eastAsia="Pretendard" w:hAnsi="Pretendard"/>
          <w:color w:val="222222"/>
          <w:sz w:val="17"/>
          <w:szCs w:val="17"/>
        </w:rPr>
        <w:t xml:space="preserve">[7] Solar Best Practices, Key Performance Indicators </w:t>
      </w:r>
      <w:hyperlink w:history="1" r:id="rIduhf8b4fmfsb2diohxvtng">
        <w:r>
          <w:rPr>
            <w:rFonts w:ascii="Pretendard" w:cs="Pretendard" w:eastAsia="Pretendard" w:hAnsi="Pretendard"/>
            <w:color w:val="4081ED"/>
            <w:sz w:val="16"/>
            <w:szCs w:val="16"/>
          </w:rPr>
          <w:t xml:space="preserve">https://solarbestpractices.com/guidelines/detail/key-performance-indicators</w:t>
        </w:r>
      </w:hyperlink>
    </w:p>
    <w:p>
      <w:pPr>
        <w:spacing w:after="40" w:before="0" w:line="264"/>
      </w:pPr>
      <w:r>
        <w:rPr>
          <w:rFonts w:ascii="Pretendard" w:cs="Pretendard" w:eastAsia="Pretendard" w:hAnsi="Pretendard"/>
          <w:color w:val="222222"/>
          <w:sz w:val="17"/>
          <w:szCs w:val="17"/>
        </w:rPr>
        <w:t xml:space="preserve">[8] Solar Best Practices, AM Guidelines v2: Technical Asset Management (보고) </w:t>
      </w:r>
      <w:hyperlink w:history="1" r:id="rIdhyzhdcxwz5nybyct_duuh">
        <w:r>
          <w:rPr>
            <w:rFonts w:ascii="Pretendard" w:cs="Pretendard" w:eastAsia="Pretendard" w:hAnsi="Pretendard"/>
            <w:color w:val="4081ED"/>
            <w:sz w:val="16"/>
            <w:szCs w:val="16"/>
          </w:rPr>
          <w:t xml:space="preserve">https://solarbestpractices.com/guidelines/detail/technical-asset-management-2</w:t>
        </w:r>
      </w:hyperlink>
    </w:p>
    <w:p>
      <w:pPr>
        <w:spacing w:after="40" w:before="0" w:line="264"/>
      </w:pPr>
      <w:r>
        <w:rPr>
          <w:rFonts w:ascii="Pretendard" w:cs="Pretendard" w:eastAsia="Pretendard" w:hAnsi="Pretendard"/>
          <w:color w:val="222222"/>
          <w:sz w:val="17"/>
          <w:szCs w:val="17"/>
        </w:rPr>
        <w:t xml:space="preserve">[9] Solar Best Practices, Data and Monitoring Requirements </w:t>
      </w:r>
      <w:hyperlink w:history="1" r:id="rIdtfnpvuzkzdcn_05hysgqs">
        <w:r>
          <w:rPr>
            <w:rFonts w:ascii="Pretendard" w:cs="Pretendard" w:eastAsia="Pretendard" w:hAnsi="Pretendard"/>
            <w:color w:val="4081ED"/>
            <w:sz w:val="16"/>
            <w:szCs w:val="16"/>
          </w:rPr>
          <w:t xml:space="preserve">https://solarbestpractices.com/guidelines/detail/data-and-monitoring-requirements</w:t>
        </w:r>
      </w:hyperlink>
    </w:p>
    <w:p>
      <w:pPr>
        <w:spacing w:after="40" w:before="0" w:line="264"/>
      </w:pPr>
      <w:r>
        <w:rPr>
          <w:rFonts w:ascii="Pretendard" w:cs="Pretendard" w:eastAsia="Pretendard" w:hAnsi="Pretendard"/>
          <w:color w:val="222222"/>
          <w:sz w:val="17"/>
          <w:szCs w:val="17"/>
        </w:rPr>
        <w:t xml:space="preserve">[10] Hukseflux, IEC 61724-1:2021 What's new </w:t>
      </w:r>
      <w:hyperlink w:history="1" r:id="rIdu9qskt8ep8zygixyexh02">
        <w:r>
          <w:rPr>
            <w:rFonts w:ascii="Pretendard" w:cs="Pretendard" w:eastAsia="Pretendard" w:hAnsi="Pretendard"/>
            <w:color w:val="4081ED"/>
            <w:sz w:val="16"/>
            <w:szCs w:val="16"/>
          </w:rPr>
          <w:t xml:space="preserve">https://www.hukx.com/uploads/iec-61724-1-2021-version-what-is-new.pdf</w:t>
        </w:r>
      </w:hyperlink>
    </w:p>
    <w:p>
      <w:pPr>
        <w:spacing w:after="40" w:before="0" w:line="264"/>
      </w:pPr>
      <w:r>
        <w:rPr>
          <w:rFonts w:ascii="Pretendard" w:cs="Pretendard" w:eastAsia="Pretendard" w:hAnsi="Pretendard"/>
          <w:color w:val="222222"/>
          <w:sz w:val="17"/>
          <w:szCs w:val="17"/>
        </w:rPr>
        <w:t xml:space="preserve">[11] NREL, Annual Technology Baseline 2024: Utility-Scale PV </w:t>
      </w:r>
      <w:hyperlink w:history="1" r:id="rIdps1jru-rre3lvojtihsmf">
        <w:r>
          <w:rPr>
            <w:rFonts w:ascii="Pretendard" w:cs="Pretendard" w:eastAsia="Pretendard" w:hAnsi="Pretendard"/>
            <w:color w:val="4081ED"/>
            <w:sz w:val="16"/>
            <w:szCs w:val="16"/>
          </w:rPr>
          <w:t xml:space="preserve">https://atb.nlr.gov/electricity/2024/utility-scale_pv</w:t>
        </w:r>
      </w:hyperlink>
    </w:p>
    <w:p>
      <w:pPr>
        <w:spacing w:after="40" w:before="0" w:line="264"/>
      </w:pPr>
      <w:r>
        <w:rPr>
          <w:rFonts w:ascii="Pretendard" w:cs="Pretendard" w:eastAsia="Pretendard" w:hAnsi="Pretendard"/>
          <w:color w:val="222222"/>
          <w:sz w:val="17"/>
          <w:szCs w:val="17"/>
        </w:rPr>
        <w:t xml:space="preserve">[12] NREL, Annual Technology Baseline 2024: Utility-Scale Battery Storage </w:t>
      </w:r>
      <w:hyperlink w:history="1" r:id="rIdjljzdtfztvohkyhmxxc-h">
        <w:r>
          <w:rPr>
            <w:rFonts w:ascii="Pretendard" w:cs="Pretendard" w:eastAsia="Pretendard" w:hAnsi="Pretendard"/>
            <w:color w:val="4081ED"/>
            <w:sz w:val="16"/>
            <w:szCs w:val="16"/>
          </w:rPr>
          <w:t xml:space="preserve">https://atb.nlr.gov/electricity/2024/utility-scale_battery_storage</w:t>
        </w:r>
      </w:hyperlink>
    </w:p>
    <w:p>
      <w:pPr>
        <w:spacing w:after="40" w:before="0" w:line="264"/>
      </w:pPr>
      <w:r>
        <w:rPr>
          <w:rFonts w:ascii="Pretendard" w:cs="Pretendard" w:eastAsia="Pretendard" w:hAnsi="Pretendard"/>
          <w:color w:val="222222"/>
          <w:sz w:val="17"/>
          <w:szCs w:val="17"/>
        </w:rPr>
        <w:t xml:space="preserve">[13] BFH, Life Expectancy of PV Inverters and Optimizers (WCPEC-8, 2022) </w:t>
      </w:r>
      <w:hyperlink w:history="1" r:id="rId3t7e68m6gqjzeaiaqijyr">
        <w:r>
          <w:rPr>
            <w:rFonts w:ascii="Pretendard" w:cs="Pretendard" w:eastAsia="Pretendard" w:hAnsi="Pretendard"/>
            <w:color w:val="4081ED"/>
            <w:sz w:val="16"/>
            <w:szCs w:val="16"/>
          </w:rPr>
          <w:t xml:space="preserve">https://www.bfh.ch/dam/jcr:5bfd5c32-f70f-4bf6-8d60-fdab6094e164/2022_09_WCPEC-8_3DV.1.46_-_Life_Expectancy_of_PV_inverters.pdf</w:t>
        </w:r>
      </w:hyperlink>
    </w:p>
    <w:p>
      <w:pPr>
        <w:spacing w:after="40" w:before="0" w:line="264"/>
      </w:pPr>
      <w:r>
        <w:rPr>
          <w:rFonts w:ascii="Pretendard" w:cs="Pretendard" w:eastAsia="Pretendard" w:hAnsi="Pretendard"/>
          <w:color w:val="222222"/>
          <w:sz w:val="17"/>
          <w:szCs w:val="17"/>
        </w:rPr>
        <w:t xml:space="preserve">[14] Cornell Dubilier, Aluminum Electrolytic Capacitor Application Guide </w:t>
      </w:r>
      <w:hyperlink w:history="1" r:id="rIdh0fusfl4gwm0kmjgkgwre">
        <w:r>
          <w:rPr>
            <w:rFonts w:ascii="Pretendard" w:cs="Pretendard" w:eastAsia="Pretendard" w:hAnsi="Pretendard"/>
            <w:color w:val="4081ED"/>
            <w:sz w:val="16"/>
            <w:szCs w:val="16"/>
          </w:rPr>
          <w:t xml:space="preserve">https://www.ielogical.com/assets/M-125/ElectroAppGUIDE_CDE.pdf</w:t>
        </w:r>
      </w:hyperlink>
    </w:p>
    <w:p>
      <w:pPr>
        <w:spacing w:after="40" w:before="0" w:line="264"/>
      </w:pPr>
      <w:r>
        <w:rPr>
          <w:rFonts w:ascii="Pretendard" w:cs="Pretendard" w:eastAsia="Pretendard" w:hAnsi="Pretendard"/>
          <w:color w:val="222222"/>
          <w:sz w:val="17"/>
          <w:szCs w:val="17"/>
        </w:rPr>
        <w:t xml:space="preserve">[15] ERLPhase, Fundamental Principles of Transformer Thermal Loading (IEEE C57.91 요약) </w:t>
      </w:r>
      <w:hyperlink w:history="1" r:id="rIdiyovaphscdrxa7azfkrl_">
        <w:r>
          <w:rPr>
            <w:rFonts w:ascii="Pretendard" w:cs="Pretendard" w:eastAsia="Pretendard" w:hAnsi="Pretendard"/>
            <w:color w:val="4081ED"/>
            <w:sz w:val="16"/>
            <w:szCs w:val="16"/>
          </w:rPr>
          <w:t xml:space="preserve">https://www.erlphase.com/downloads/papers/WPRC2010_Fundamental_Principles_of_Transformer_Thermal_Loading.pdf</w:t>
        </w:r>
      </w:hyperlink>
    </w:p>
    <w:p>
      <w:pPr>
        <w:spacing w:after="40" w:before="0" w:line="264"/>
      </w:pPr>
      <w:r>
        <w:rPr>
          <w:rFonts w:ascii="Pretendard" w:cs="Pretendard" w:eastAsia="Pretendard" w:hAnsi="Pretendard"/>
          <w:color w:val="222222"/>
          <w:sz w:val="17"/>
          <w:szCs w:val="17"/>
        </w:rPr>
        <w:t xml:space="preserve">[16] 한전 웹진, 봄철 계통안정화를 위한 재생에너지 출력제어 </w:t>
      </w:r>
      <w:hyperlink w:history="1" r:id="rIdk3vo50im0jx6bs2sm-xqd">
        <w:r>
          <w:rPr>
            <w:rFonts w:ascii="Pretendard" w:cs="Pretendard" w:eastAsia="Pretendard" w:hAnsi="Pretendard"/>
            <w:color w:val="4081ED"/>
            <w:sz w:val="16"/>
            <w:szCs w:val="16"/>
          </w:rPr>
          <w:t xml:space="preserve">http://www.kepco-webzine.co.kr/06/story02.html</w:t>
        </w:r>
      </w:hyperlink>
    </w:p>
    <w:p>
      <w:pPr>
        <w:spacing w:after="40" w:before="0" w:line="264"/>
      </w:pPr>
      <w:r>
        <w:rPr>
          <w:rFonts w:ascii="Pretendard" w:cs="Pretendard" w:eastAsia="Pretendard" w:hAnsi="Pretendard"/>
          <w:color w:val="222222"/>
          <w:sz w:val="17"/>
          <w:szCs w:val="17"/>
        </w:rPr>
        <w:t xml:space="preserve">[17] PNNL-33283, 2022 Grid Energy Storage Technology Cost and Performance Assessment </w:t>
      </w:r>
      <w:hyperlink w:history="1" r:id="rId5u6ubnmkgls4d15m9b_zg">
        <w:r>
          <w:rPr>
            <w:rFonts w:ascii="Pretendard" w:cs="Pretendard" w:eastAsia="Pretendard" w:hAnsi="Pretendard"/>
            <w:color w:val="4081ED"/>
            <w:sz w:val="16"/>
            <w:szCs w:val="16"/>
          </w:rPr>
          <w:t xml:space="preserve">https://www.pnnl.gov/sites/default/files/media/file/ESGC%20Cost%20Performance%20Report%202022%20PNNL-33283.pdf</w:t>
        </w:r>
      </w:hyperlink>
    </w:p>
    <w:p>
      <w:pPr>
        <w:spacing w:after="40" w:before="0" w:line="264"/>
      </w:pPr>
      <w:r>
        <w:rPr>
          <w:rFonts w:ascii="Pretendard" w:cs="Pretendard" w:eastAsia="Pretendard" w:hAnsi="Pretendard"/>
          <w:color w:val="222222"/>
          <w:sz w:val="17"/>
          <w:szCs w:val="17"/>
        </w:rPr>
        <w:t xml:space="preserve">[18] US DOE FEMP, Battery Energy Storage System Evaluation Method (2023) </w:t>
      </w:r>
      <w:hyperlink w:history="1" r:id="rIdcywrg_nj9vrstmitg3kjo">
        <w:r>
          <w:rPr>
            <w:rFonts w:ascii="Pretendard" w:cs="Pretendard" w:eastAsia="Pretendard" w:hAnsi="Pretendard"/>
            <w:color w:val="4081ED"/>
            <w:sz w:val="16"/>
            <w:szCs w:val="16"/>
          </w:rPr>
          <w:t xml:space="preserve">https://www.energy.gov/sites/default/files/2024-01/bess-evaluation-method.pdf</w:t>
        </w:r>
      </w:hyperlink>
    </w:p>
    <w:p>
      <w:pPr>
        <w:spacing w:after="40" w:before="0" w:line="264"/>
      </w:pPr>
      <w:r>
        <w:rPr>
          <w:rFonts w:ascii="Pretendard" w:cs="Pretendard" w:eastAsia="Pretendard" w:hAnsi="Pretendard"/>
          <w:color w:val="222222"/>
          <w:sz w:val="17"/>
          <w:szCs w:val="17"/>
        </w:rPr>
        <w:t xml:space="preserve">[19] EPRI (2024), Insights from EPRI's Battery Energy Storage Failure Incident Database </w:t>
      </w:r>
      <w:hyperlink w:history="1" r:id="rIdq75rdmhayikzchfbmcnaz">
        <w:r>
          <w:rPr>
            <w:rFonts w:ascii="Pretendard" w:cs="Pretendard" w:eastAsia="Pretendard" w:hAnsi="Pretendard"/>
            <w:color w:val="4081ED"/>
            <w:sz w:val="16"/>
            <w:szCs w:val="16"/>
          </w:rPr>
          <w:t xml:space="preserve">https://restservice.epri.com/publicdownload/000000003002030360/0/Product</w:t>
        </w:r>
      </w:hyperlink>
    </w:p>
    <w:p>
      <w:pPr>
        <w:spacing w:after="40" w:before="0" w:line="264"/>
      </w:pPr>
      <w:r>
        <w:rPr>
          <w:rFonts w:ascii="Pretendard" w:cs="Pretendard" w:eastAsia="Pretendard" w:hAnsi="Pretendard"/>
          <w:color w:val="222222"/>
          <w:sz w:val="17"/>
          <w:szCs w:val="17"/>
        </w:rPr>
        <w:t xml:space="preserve">[20] 정책브리핑(2020.2.6), ESS 화재사고 원인 및 안전대책 </w:t>
      </w:r>
      <w:hyperlink w:history="1" r:id="rIdx4tsa0hz0uhtbw_bie7bq">
        <w:r>
          <w:rPr>
            <w:rFonts w:ascii="Pretendard" w:cs="Pretendard" w:eastAsia="Pretendard" w:hAnsi="Pretendard"/>
            <w:color w:val="4081ED"/>
            <w:sz w:val="16"/>
            <w:szCs w:val="16"/>
          </w:rPr>
          <w:t xml:space="preserve">https://www.korea.kr/news/policyNewsView.do?newsId=156374464</w:t>
        </w:r>
      </w:hyperlink>
    </w:p>
    <w:p>
      <w:pPr>
        <w:spacing w:after="40" w:before="0" w:line="264"/>
      </w:pPr>
      <w:r>
        <w:rPr>
          <w:rFonts w:ascii="Pretendard" w:cs="Pretendard" w:eastAsia="Pretendard" w:hAnsi="Pretendard"/>
          <w:color w:val="222222"/>
          <w:sz w:val="17"/>
          <w:szCs w:val="17"/>
        </w:rPr>
        <w:t xml:space="preserve">[21] 전기안전관리법 시행규칙 별표4(2024.6.25 개정) </w:t>
      </w:r>
      <w:hyperlink w:history="1" r:id="rIdwzcas2-ggkfgpri5e4pm9">
        <w:r>
          <w:rPr>
            <w:rFonts w:ascii="Pretendard" w:cs="Pretendard" w:eastAsia="Pretendard" w:hAnsi="Pretendard"/>
            <w:color w:val="4081ED"/>
            <w:sz w:val="16"/>
            <w:szCs w:val="16"/>
          </w:rPr>
          <w:t xml:space="preserve">https://www.law.go.kr/LSW/flDownload.do?gubun=&amp;flSeq=158557339&amp;bylClsCd=110201</w:t>
        </w:r>
      </w:hyperlink>
    </w:p>
    <w:p>
      <w:pPr>
        <w:spacing w:after="40" w:before="0" w:line="264"/>
      </w:pPr>
      <w:r>
        <w:rPr>
          <w:rFonts w:ascii="Pretendard" w:cs="Pretendard" w:eastAsia="Pretendard" w:hAnsi="Pretendard"/>
          <w:color w:val="222222"/>
          <w:sz w:val="17"/>
          <w:szCs w:val="17"/>
        </w:rPr>
        <w:t xml:space="preserve">[22] US DOE, Technical Targets for Proton Exchange Membrane Electrolysis </w:t>
      </w:r>
      <w:hyperlink w:history="1" r:id="rIdtqoce4snqnmuupbrdo97r">
        <w:r>
          <w:rPr>
            <w:rFonts w:ascii="Pretendard" w:cs="Pretendard" w:eastAsia="Pretendard" w:hAnsi="Pretendard"/>
            <w:color w:val="4081ED"/>
            <w:sz w:val="16"/>
            <w:szCs w:val="16"/>
          </w:rPr>
          <w:t xml:space="preserve">https://www.energy.gov/cmei/fuels/technical-targets-proton-exchange-membrane-electrolysis</w:t>
        </w:r>
      </w:hyperlink>
    </w:p>
    <w:p>
      <w:pPr>
        <w:spacing w:after="40" w:before="0" w:line="264"/>
      </w:pPr>
      <w:r>
        <w:rPr>
          <w:rFonts w:ascii="Pretendard" w:cs="Pretendard" w:eastAsia="Pretendard" w:hAnsi="Pretendard"/>
          <w:color w:val="222222"/>
          <w:sz w:val="17"/>
          <w:szCs w:val="17"/>
        </w:rPr>
        <w:t xml:space="preserve">[23] IRENA (2020), Green Hydrogen Cost Reduction </w:t>
      </w:r>
      <w:hyperlink w:history="1" r:id="rIdd8mbvo0h9afdueleybsa0">
        <w:r>
          <w:rPr>
            <w:rFonts w:ascii="Pretendard" w:cs="Pretendard" w:eastAsia="Pretendard" w:hAnsi="Pretendard"/>
            <w:color w:val="4081ED"/>
            <w:sz w:val="16"/>
            <w:szCs w:val="16"/>
          </w:rPr>
          <w:t xml:space="preserve">https://www.irena.org/-/media/Files/IRENA/Agency/Publication/2020/Dec/IRENA_Green_hydrogen_cost_2020.pdf</w:t>
        </w:r>
      </w:hyperlink>
    </w:p>
    <w:p>
      <w:pPr>
        <w:spacing w:after="40" w:before="0" w:line="264"/>
      </w:pPr>
      <w:r>
        <w:rPr>
          <w:rFonts w:ascii="Pretendard" w:cs="Pretendard" w:eastAsia="Pretendard" w:hAnsi="Pretendard"/>
          <w:color w:val="222222"/>
          <w:sz w:val="17"/>
          <w:szCs w:val="17"/>
        </w:rPr>
        <w:t xml:space="preserve">[24] EPRI (2022), Technology Brief: Water Electrolyzer Stack Degradation </w:t>
      </w:r>
      <w:hyperlink w:history="1" r:id="rId1f5rtpl8knvs6-aljrv7z">
        <w:r>
          <w:rPr>
            <w:rFonts w:ascii="Pretendard" w:cs="Pretendard" w:eastAsia="Pretendard" w:hAnsi="Pretendard"/>
            <w:color w:val="4081ED"/>
            <w:sz w:val="16"/>
            <w:szCs w:val="16"/>
          </w:rPr>
          <w:t xml:space="preserve">https://restservice.epri.com/publicdownload/000000003002025148/0/Product</w:t>
        </w:r>
      </w:hyperlink>
    </w:p>
    <w:p>
      <w:pPr>
        <w:spacing w:after="40" w:before="0" w:line="264"/>
      </w:pPr>
      <w:r>
        <w:rPr>
          <w:rFonts w:ascii="Pretendard" w:cs="Pretendard" w:eastAsia="Pretendard" w:hAnsi="Pretendard"/>
          <w:color w:val="222222"/>
          <w:sz w:val="17"/>
          <w:szCs w:val="17"/>
        </w:rPr>
        <w:t xml:space="preserve">[25] Clean Hydrogen JU, SRIA Key Performance Indicators </w:t>
      </w:r>
      <w:hyperlink w:history="1" r:id="rIdj-ebqagqiqwi27o3jzwvt">
        <w:r>
          <w:rPr>
            <w:rFonts w:ascii="Pretendard" w:cs="Pretendard" w:eastAsia="Pretendard" w:hAnsi="Pretendard"/>
            <w:color w:val="4081ED"/>
            <w:sz w:val="16"/>
            <w:szCs w:val="16"/>
          </w:rPr>
          <w:t xml:space="preserve">https://www.clean-hydrogen.europa.eu/knowledge-management/strategy-map-and-key-performance-indicators/clean-hydrogen-ju-sria-key-performance-indicators-kpis_en</w:t>
        </w:r>
      </w:hyperlink>
    </w:p>
    <w:p>
      <w:pPr>
        <w:spacing w:after="40" w:before="0" w:line="264"/>
      </w:pPr>
      <w:r>
        <w:rPr>
          <w:rFonts w:ascii="Pretendard" w:cs="Pretendard" w:eastAsia="Pretendard" w:hAnsi="Pretendard"/>
          <w:color w:val="222222"/>
          <w:sz w:val="17"/>
          <w:szCs w:val="17"/>
        </w:rPr>
        <w:t xml:space="preserve">[26] Weiß et al. (2019), Impact of Intermittent Operation on Lifetime and Performance of a PEM Water Electrolyzer (J. Electrochem. Soc.) </w:t>
      </w:r>
      <w:hyperlink w:history="1" r:id="rIdbidnkqiirobnvgo-mmrqb">
        <w:r>
          <w:rPr>
            <w:rFonts w:ascii="Pretendard" w:cs="Pretendard" w:eastAsia="Pretendard" w:hAnsi="Pretendard"/>
            <w:color w:val="4081ED"/>
            <w:sz w:val="16"/>
            <w:szCs w:val="16"/>
          </w:rPr>
          <w:t xml:space="preserve">https://iopscience.iop.org/article/10.1149/2.0421908jes</w:t>
        </w:r>
      </w:hyperlink>
    </w:p>
    <w:p>
      <w:pPr>
        <w:spacing w:after="40" w:before="0" w:line="264"/>
      </w:pPr>
      <w:r>
        <w:rPr>
          <w:rFonts w:ascii="Pretendard" w:cs="Pretendard" w:eastAsia="Pretendard" w:hAnsi="Pretendard"/>
          <w:color w:val="222222"/>
          <w:sz w:val="17"/>
          <w:szCs w:val="17"/>
        </w:rPr>
        <w:t xml:space="preserve">[27] JRC, EU Harmonised Terminology for Low-Temperature Water Electrolysis (JRC112082) </w:t>
      </w:r>
      <w:hyperlink w:history="1" r:id="rIdycxbdnmf3c3ukf1p37t5n">
        <w:r>
          <w:rPr>
            <w:rFonts w:ascii="Pretendard" w:cs="Pretendard" w:eastAsia="Pretendard" w:hAnsi="Pretendard"/>
            <w:color w:val="4081ED"/>
            <w:sz w:val="16"/>
            <w:szCs w:val="16"/>
          </w:rPr>
          <w:t xml:space="preserve">https://publications.jrc.ec.europa.eu/repository/handle/JRC112082</w:t>
        </w:r>
      </w:hyperlink>
    </w:p>
    <w:p>
      <w:pPr>
        <w:spacing w:after="40" w:before="0" w:line="264"/>
      </w:pPr>
      <w:r>
        <w:rPr>
          <w:rFonts w:ascii="Pretendard" w:cs="Pretendard" w:eastAsia="Pretendard" w:hAnsi="Pretendard"/>
          <w:color w:val="222222"/>
          <w:sz w:val="17"/>
          <w:szCs w:val="17"/>
        </w:rPr>
        <w:t xml:space="preserve">[28] Clean Hydrogen JU, EU Harmonised Accelerated Stress Testing Protocols for Low-Temperature Water Electrolysis </w:t>
      </w:r>
      <w:hyperlink w:history="1" r:id="rIdiwucrtivf7dyicbaowcng">
        <w:r>
          <w:rPr>
            <w:rFonts w:ascii="Pretendard" w:cs="Pretendard" w:eastAsia="Pretendard" w:hAnsi="Pretendard"/>
            <w:color w:val="4081ED"/>
            <w:sz w:val="16"/>
            <w:szCs w:val="16"/>
          </w:rPr>
          <w:t xml:space="preserve">https://www.clean-hydrogen.europa.eu/system/files/2024-02/ast.pdf</w:t>
        </w:r>
      </w:hyperlink>
    </w:p>
    <w:p>
      <w:pPr>
        <w:spacing w:after="40" w:before="0" w:line="264"/>
      </w:pPr>
      <w:r>
        <w:rPr>
          <w:rFonts w:ascii="Pretendard" w:cs="Pretendard" w:eastAsia="Pretendard" w:hAnsi="Pretendard"/>
          <w:color w:val="222222"/>
          <w:sz w:val="17"/>
          <w:szCs w:val="17"/>
        </w:rPr>
        <w:t xml:space="preserve">[29] EIGA Doc 246/23, Guideline for Small Scale Hydrogen Production </w:t>
      </w:r>
      <w:hyperlink w:history="1" r:id="rIdlguo62eryzofu3epigure">
        <w:r>
          <w:rPr>
            <w:rFonts w:ascii="Pretendard" w:cs="Pretendard" w:eastAsia="Pretendard" w:hAnsi="Pretendard"/>
            <w:color w:val="4081ED"/>
            <w:sz w:val="16"/>
            <w:szCs w:val="16"/>
          </w:rPr>
          <w:t xml:space="preserve">https://www.eiga.eu/uploads/documents/DOC246.pdf</w:t>
        </w:r>
      </w:hyperlink>
    </w:p>
    <w:p>
      <w:pPr>
        <w:spacing w:after="40" w:before="0" w:line="264"/>
      </w:pPr>
      <w:r>
        <w:rPr>
          <w:rFonts w:ascii="Pretendard" w:cs="Pretendard" w:eastAsia="Pretendard" w:hAnsi="Pretendard"/>
          <w:color w:val="222222"/>
          <w:sz w:val="17"/>
          <w:szCs w:val="17"/>
        </w:rPr>
        <w:t xml:space="preserve">[30] KGS AH271(2025), 수전해설비 제조의 시설·기술·검사 기준 </w:t>
      </w:r>
      <w:hyperlink w:history="1" r:id="rIdflrm29el0mwizkhpzyxj7">
        <w:r>
          <w:rPr>
            <w:rFonts w:ascii="Pretendard" w:cs="Pretendard" w:eastAsia="Pretendard" w:hAnsi="Pretendard"/>
            <w:color w:val="4081ED"/>
            <w:sz w:val="16"/>
            <w:szCs w:val="16"/>
          </w:rPr>
          <w:t xml:space="preserve">https://h2hub.or.kr/main/info/regulation_info.do?mode=download&amp;articleNo=2572&amp;attachNo=4930</w:t>
        </w:r>
      </w:hyperlink>
    </w:p>
    <w:p>
      <w:pPr>
        <w:spacing w:after="40" w:before="0" w:line="264"/>
      </w:pPr>
      <w:r>
        <w:rPr>
          <w:rFonts w:ascii="Pretendard" w:cs="Pretendard" w:eastAsia="Pretendard" w:hAnsi="Pretendard"/>
          <w:color w:val="222222"/>
          <w:sz w:val="17"/>
          <w:szCs w:val="17"/>
        </w:rPr>
        <w:t xml:space="preserve">[31] KGS FU671(2025), 수소연료사용시설의 시설·기술·검사 기준 </w:t>
      </w:r>
      <w:hyperlink w:history="1" r:id="rIdnghlzigxh3do0eqed2pk_">
        <w:r>
          <w:rPr>
            <w:rFonts w:ascii="Pretendard" w:cs="Pretendard" w:eastAsia="Pretendard" w:hAnsi="Pretendard"/>
            <w:color w:val="4081ED"/>
            <w:sz w:val="16"/>
            <w:szCs w:val="16"/>
          </w:rPr>
          <w:t xml:space="preserve">https://h2hub.or.kr/main/info/regulation_info.do?mode=download&amp;articleNo=3039&amp;attachNo=5967</w:t>
        </w:r>
      </w:hyperlink>
    </w:p>
    <w:p>
      <w:pPr>
        <w:spacing w:after="40" w:before="0" w:line="264"/>
      </w:pPr>
      <w:r>
        <w:rPr>
          <w:rFonts w:ascii="Pretendard" w:cs="Pretendard" w:eastAsia="Pretendard" w:hAnsi="Pretendard"/>
          <w:color w:val="222222"/>
          <w:sz w:val="17"/>
          <w:szCs w:val="17"/>
        </w:rPr>
        <w:t xml:space="preserve">[32] 수소경제 육성 및 수소 안전관리에 관한 법률 시행령(제50조) </w:t>
      </w:r>
      <w:hyperlink w:history="1" r:id="rIdgicuqlxio0vntldxmpcfr">
        <w:r>
          <w:rPr>
            <w:rFonts w:ascii="Pretendard" w:cs="Pretendard" w:eastAsia="Pretendard" w:hAnsi="Pretendard"/>
            <w:color w:val="4081ED"/>
            <w:sz w:val="16"/>
            <w:szCs w:val="16"/>
          </w:rPr>
          <w:t xml:space="preserve">https://www.law.go.kr/LSW//lsInfoP.do?lsiSeq=278383&amp;chrClsCd=010202&amp;urlMode=lsInfoP&amp;efYd=20251001&amp;ancYnChk=0</w:t>
        </w:r>
      </w:hyperlink>
    </w:p>
    <w:p>
      <w:pPr>
        <w:spacing w:after="40" w:before="0" w:line="264"/>
      </w:pPr>
      <w:r>
        <w:rPr>
          <w:rFonts w:ascii="Pretendard" w:cs="Pretendard" w:eastAsia="Pretendard" w:hAnsi="Pretendard"/>
          <w:color w:val="222222"/>
          <w:sz w:val="17"/>
          <w:szCs w:val="17"/>
        </w:rPr>
        <w:t xml:space="preserve">[33] 고압가스 안전관리법 시행규칙 별표19(2026.6.11 개정) </w:t>
      </w:r>
      <w:hyperlink w:history="1" r:id="rIdn8walpmyyaf7tufti8-oh">
        <w:r>
          <w:rPr>
            <w:rFonts w:ascii="Pretendard" w:cs="Pretendard" w:eastAsia="Pretendard" w:hAnsi="Pretendard"/>
            <w:color w:val="4081ED"/>
            <w:sz w:val="16"/>
            <w:szCs w:val="16"/>
          </w:rPr>
          <w:t xml:space="preserve">https://www.law.go.kr/LSW/flDownload.do?gubun=&amp;flSeq=164930287&amp;bylClsCd=110201</w:t>
        </w:r>
      </w:hyperlink>
    </w:p>
    <w:p>
      <w:pPr>
        <w:spacing w:after="40" w:before="0" w:line="264"/>
      </w:pPr>
      <w:r>
        <w:rPr>
          <w:rFonts w:ascii="Pretendard" w:cs="Pretendard" w:eastAsia="Pretendard" w:hAnsi="Pretendard"/>
          <w:color w:val="222222"/>
          <w:sz w:val="17"/>
          <w:szCs w:val="17"/>
        </w:rPr>
        <w:t xml:space="preserve">[34] 고압가스 안전관리법 시행규칙 별표22(2026.6.11 개정) </w:t>
      </w:r>
      <w:hyperlink w:history="1" r:id="rIdgvyb8x1-fwz0ewombsjl4">
        <w:r>
          <w:rPr>
            <w:rFonts w:ascii="Pretendard" w:cs="Pretendard" w:eastAsia="Pretendard" w:hAnsi="Pretendard"/>
            <w:color w:val="4081ED"/>
            <w:sz w:val="16"/>
            <w:szCs w:val="16"/>
          </w:rPr>
          <w:t xml:space="preserve">https://www.law.go.kr/LSW/flDownload.do?gubun=&amp;flSeq=164930307&amp;bylClsCd=110201</w:t>
        </w:r>
      </w:hyperlink>
    </w:p>
    <w:p>
      <w:pPr>
        <w:spacing w:after="40" w:before="0" w:line="264"/>
      </w:pPr>
      <w:r>
        <w:rPr>
          <w:rFonts w:ascii="Pretendard" w:cs="Pretendard" w:eastAsia="Pretendard" w:hAnsi="Pretendard"/>
          <w:color w:val="222222"/>
          <w:sz w:val="17"/>
          <w:szCs w:val="17"/>
        </w:rPr>
        <w:t xml:space="preserve">[35] 고압가스 안전관리법 시행규칙 별표4(안전밸브 조정·압력계 검사) </w:t>
      </w:r>
      <w:hyperlink w:history="1" r:id="rIdxybml264yogxpny3l2_oc">
        <w:r>
          <w:rPr>
            <w:rFonts w:ascii="Pretendard" w:cs="Pretendard" w:eastAsia="Pretendard" w:hAnsi="Pretendard"/>
            <w:color w:val="4081ED"/>
            <w:sz w:val="16"/>
            <w:szCs w:val="16"/>
          </w:rPr>
          <w:t xml:space="preserve">https://www.law.go.kr/LSW/flDownload.do?gubun=&amp;flSeq=164929995&amp;bylClsCd=110201</w:t>
        </w:r>
      </w:hyperlink>
    </w:p>
    <w:p>
      <w:pPr>
        <w:spacing w:after="40" w:before="0" w:line="264"/>
      </w:pPr>
      <w:r>
        <w:rPr>
          <w:rFonts w:ascii="Pretendard" w:cs="Pretendard" w:eastAsia="Pretendard" w:hAnsi="Pretendard"/>
          <w:color w:val="222222"/>
          <w:sz w:val="17"/>
          <w:szCs w:val="17"/>
        </w:rPr>
        <w:t xml:space="preserve">[36] NREL, Retail Hydrogen Station Reliability Status and Advances </w:t>
      </w:r>
      <w:hyperlink w:history="1" r:id="rIdie-34nz5w39rolbsaxrgt">
        <w:r>
          <w:rPr>
            <w:rFonts w:ascii="Pretendard" w:cs="Pretendard" w:eastAsia="Pretendard" w:hAnsi="Pretendard"/>
            <w:color w:val="4081ED"/>
            <w:sz w:val="16"/>
            <w:szCs w:val="16"/>
          </w:rPr>
          <w:t xml:space="preserve">https://www.osti.gov/servlets/purl/1603259</w:t>
        </w:r>
      </w:hyperlink>
    </w:p>
    <w:p>
      <w:pPr>
        <w:spacing w:after="40" w:before="0" w:line="264"/>
      </w:pPr>
      <w:r>
        <w:rPr>
          <w:rFonts w:ascii="Pretendard" w:cs="Pretendard" w:eastAsia="Pretendard" w:hAnsi="Pretendard"/>
          <w:color w:val="222222"/>
          <w:sz w:val="17"/>
          <w:szCs w:val="17"/>
        </w:rPr>
        <w:t xml:space="preserve">[37] NREL, Hydrogen Safety Sensor Performance and Use Gap Analysis </w:t>
      </w:r>
      <w:hyperlink w:history="1" r:id="rId2qoo_qlzz9yeak1axecp4">
        <w:r>
          <w:rPr>
            <w:rFonts w:ascii="Pretendard" w:cs="Pretendard" w:eastAsia="Pretendard" w:hAnsi="Pretendard"/>
            <w:color w:val="4081ED"/>
            <w:sz w:val="16"/>
            <w:szCs w:val="16"/>
          </w:rPr>
          <w:t xml:space="preserve">https://docs.nlr.gov/docs/fy18osti/68773.pdf</w:t>
        </w:r>
      </w:hyperlink>
    </w:p>
    <w:p>
      <w:pPr>
        <w:spacing w:after="40" w:before="0" w:line="264"/>
      </w:pPr>
      <w:r>
        <w:rPr>
          <w:rFonts w:ascii="Pretendard" w:cs="Pretendard" w:eastAsia="Pretendard" w:hAnsi="Pretendard"/>
          <w:color w:val="222222"/>
          <w:sz w:val="17"/>
          <w:szCs w:val="17"/>
        </w:rPr>
        <w:t xml:space="preserve">[38] US DOE, Technical Targets for Fuel Cell Systems for Stationary Combined Heat and Power </w:t>
      </w:r>
      <w:hyperlink w:history="1" r:id="rId_znuq_bqzryvqsmvcguqj">
        <w:r>
          <w:rPr>
            <w:rFonts w:ascii="Pretendard" w:cs="Pretendard" w:eastAsia="Pretendard" w:hAnsi="Pretendard"/>
            <w:color w:val="4081ED"/>
            <w:sz w:val="16"/>
            <w:szCs w:val="16"/>
          </w:rPr>
          <w:t xml:space="preserve">https://www.energy.gov/eere/fuelcells/doe-technical-targets-fuel-cell-systems-stationary-combined-heat-and-power</w:t>
        </w:r>
      </w:hyperlink>
    </w:p>
    <w:p>
      <w:pPr>
        <w:spacing w:after="40" w:before="0" w:line="264"/>
      </w:pPr>
      <w:r>
        <w:rPr>
          <w:rFonts w:ascii="Pretendard" w:cs="Pretendard" w:eastAsia="Pretendard" w:hAnsi="Pretendard"/>
          <w:color w:val="222222"/>
          <w:sz w:val="17"/>
          <w:szCs w:val="17"/>
        </w:rPr>
        <w:t xml:space="preserve">[39] US EPA, Catalog of CHP Technologies, Section 6: Fuel Cells </w:t>
      </w:r>
      <w:hyperlink w:history="1" r:id="rId7-jmbct2bhjpts1ntiu4n">
        <w:r>
          <w:rPr>
            <w:rFonts w:ascii="Pretendard" w:cs="Pretendard" w:eastAsia="Pretendard" w:hAnsi="Pretendard"/>
            <w:color w:val="4081ED"/>
            <w:sz w:val="16"/>
            <w:szCs w:val="16"/>
          </w:rPr>
          <w:t xml:space="preserve">https://www.epa.gov/sites/default/files/2015-07/documents/catalog_of_chp_technologies_section_6._technology_characterization_-_fuel_cells.pdf</w:t>
        </w:r>
      </w:hyperlink>
    </w:p>
    <w:p>
      <w:pPr>
        <w:spacing w:after="40" w:before="0" w:line="264"/>
      </w:pPr>
      <w:r>
        <w:rPr>
          <w:rFonts w:ascii="Pretendard" w:cs="Pretendard" w:eastAsia="Pretendard" w:hAnsi="Pretendard"/>
          <w:color w:val="222222"/>
          <w:sz w:val="17"/>
          <w:szCs w:val="17"/>
        </w:rPr>
        <w:t xml:space="preserve">[40] MDPI Energies (2023), 차량용 PEMFC 열화 예측 리뷰(Pei et al. 2008 인용) </w:t>
      </w:r>
      <w:hyperlink w:history="1" r:id="rIdsp-ryrnrasq4sehp-jvgg">
        <w:r>
          <w:rPr>
            <w:rFonts w:ascii="Pretendard" w:cs="Pretendard" w:eastAsia="Pretendard" w:hAnsi="Pretendard"/>
            <w:color w:val="4081ED"/>
            <w:sz w:val="16"/>
            <w:szCs w:val="16"/>
          </w:rPr>
          <w:t xml:space="preserve">https://www.mdpi.com/1996-1073/16/12/4772</w:t>
        </w:r>
      </w:hyperlink>
    </w:p>
    <w:p>
      <w:pPr>
        <w:spacing w:after="40" w:before="0" w:line="264"/>
      </w:pPr>
      <w:r>
        <w:rPr>
          <w:rFonts w:ascii="Pretendard" w:cs="Pretendard" w:eastAsia="Pretendard" w:hAnsi="Pretendard"/>
          <w:color w:val="222222"/>
          <w:sz w:val="17"/>
          <w:szCs w:val="17"/>
        </w:rPr>
        <w:t xml:space="preserve">[41] NREL, Stationary Fuel Cell System Composite Data Products (TP-5400-60796) </w:t>
      </w:r>
      <w:hyperlink w:history="1" r:id="rIdrx6cvubhboenlok6y_d79">
        <w:r>
          <w:rPr>
            <w:rFonts w:ascii="Pretendard" w:cs="Pretendard" w:eastAsia="Pretendard" w:hAnsi="Pretendard"/>
            <w:color w:val="4081ED"/>
            <w:sz w:val="16"/>
            <w:szCs w:val="16"/>
          </w:rPr>
          <w:t xml:space="preserve">https://docs.nlr.gov/docs/fy14osti/60796.pdf</w:t>
        </w:r>
      </w:hyperlink>
    </w:p>
    <w:p>
      <w:pPr>
        <w:spacing w:after="40" w:before="0" w:line="264"/>
      </w:pPr>
      <w:r>
        <w:rPr>
          <w:rFonts w:ascii="Pretendard" w:cs="Pretendard" w:eastAsia="Pretendard" w:hAnsi="Pretendard"/>
          <w:color w:val="222222"/>
          <w:sz w:val="17"/>
          <w:szCs w:val="17"/>
        </w:rPr>
        <w:t xml:space="preserve">[42] Magesh et al. (Stanford, 2024), Hallucination-Free? Assessing the Reliability of Leading AI Legal Research Tools </w:t>
      </w:r>
      <w:hyperlink w:history="1" r:id="rId6uwlg3_6mkkhirlzv_362">
        <w:r>
          <w:rPr>
            <w:rFonts w:ascii="Pretendard" w:cs="Pretendard" w:eastAsia="Pretendard" w:hAnsi="Pretendard"/>
            <w:color w:val="4081ED"/>
            <w:sz w:val="16"/>
            <w:szCs w:val="16"/>
          </w:rPr>
          <w:t xml:space="preserve">https://arxiv.org/abs/2405.20362</w:t>
        </w:r>
      </w:hyperlink>
    </w:p>
    <w:p>
      <w:pPr>
        <w:spacing w:after="40" w:before="0" w:line="264"/>
      </w:pPr>
      <w:r>
        <w:rPr>
          <w:rFonts w:ascii="Pretendard" w:cs="Pretendard" w:eastAsia="Pretendard" w:hAnsi="Pretendard"/>
          <w:color w:val="222222"/>
          <w:sz w:val="17"/>
          <w:szCs w:val="17"/>
        </w:rPr>
        <w:t xml:space="preserve">[43] 한전 분산형전원 배전계통 연계 기술기준 </w:t>
      </w:r>
      <w:hyperlink w:history="1" r:id="rIdc6pzxlqlm8lnzs1eoned0">
        <w:r>
          <w:rPr>
            <w:rFonts w:ascii="Pretendard" w:cs="Pretendard" w:eastAsia="Pretendard" w:hAnsi="Pretendard"/>
            <w:color w:val="4081ED"/>
            <w:sz w:val="16"/>
            <w:szCs w:val="16"/>
          </w:rPr>
          <w:t xml:space="preserve">https://cyber.kepco.co.kr/ckepco/front/jsp/CY/H/C/CYHCHP00802.jsp</w:t>
        </w:r>
      </w:hyperlink>
    </w:p>
    <w:p>
      <w:pPr>
        <w:spacing w:after="40" w:before="0" w:line="264"/>
      </w:pPr>
      <w:r>
        <w:rPr>
          <w:rFonts w:ascii="Pretendard" w:cs="Pretendard" w:eastAsia="Pretendard" w:hAnsi="Pretendard"/>
          <w:color w:val="222222"/>
          <w:sz w:val="17"/>
          <w:szCs w:val="17"/>
        </w:rPr>
        <w:t xml:space="preserve">[44] 한국전기안전공사 ESS 화재 자료(2024 국정감사, ZDNet 보도) </w:t>
      </w:r>
      <w:hyperlink w:history="1" r:id="rIdyslpzdhto1wrqkp3jngs4">
        <w:r>
          <w:rPr>
            <w:rFonts w:ascii="Pretendard" w:cs="Pretendard" w:eastAsia="Pretendard" w:hAnsi="Pretendard"/>
            <w:color w:val="4081ED"/>
            <w:sz w:val="16"/>
            <w:szCs w:val="16"/>
          </w:rPr>
          <w:t xml:space="preserve">https://zdnet.co.kr/view/?no=20241007084436</w:t>
        </w:r>
      </w:hyperlink>
    </w:p>
    <w:p>
      <w:pPr>
        <w:spacing w:after="40" w:before="0" w:line="264"/>
      </w:pPr>
      <w:r>
        <w:rPr>
          <w:rFonts w:ascii="Pretendard" w:cs="Pretendard" w:eastAsia="Pretendard" w:hAnsi="Pretendard"/>
          <w:color w:val="222222"/>
          <w:sz w:val="17"/>
          <w:szCs w:val="17"/>
        </w:rPr>
        <w:t xml:space="preserve">[45] IEA AFC TCP, Stationary Fuel Cell Applications 2021 </w:t>
      </w:r>
      <w:hyperlink w:history="1" r:id="rIdptenx6qweg_t-1skslaz4">
        <w:r>
          <w:rPr>
            <w:rFonts w:ascii="Pretendard" w:cs="Pretendard" w:eastAsia="Pretendard" w:hAnsi="Pretendard"/>
            <w:color w:val="4081ED"/>
            <w:sz w:val="16"/>
            <w:szCs w:val="16"/>
          </w:rPr>
          <w:t xml:space="preserve">https://ieafuelcell.com/wp-content/uploads/2024/11/2021-stationary-application-performance.pdf</w:t>
        </w:r>
      </w:hyperlink>
    </w:p>
    <w:p>
      <w:pPr>
        <w:spacing w:after="40" w:before="0" w:line="264"/>
      </w:pPr>
      <w:r>
        <w:rPr>
          <w:rFonts w:ascii="Pretendard" w:cs="Pretendard" w:eastAsia="Pretendard" w:hAnsi="Pretendard"/>
          <w:color w:val="222222"/>
          <w:sz w:val="17"/>
          <w:szCs w:val="17"/>
        </w:rPr>
        <w:t xml:space="preserve">[46] ACCURE, BESS 사례 연구 </w:t>
      </w:r>
      <w:hyperlink w:history="1" r:id="rIdo3p3xgugdzum_f4tv6hdw">
        <w:r>
          <w:rPr>
            <w:rFonts w:ascii="Pretendard" w:cs="Pretendard" w:eastAsia="Pretendard" w:hAnsi="Pretendard"/>
            <w:color w:val="4081ED"/>
            <w:sz w:val="16"/>
            <w:szCs w:val="16"/>
          </w:rPr>
          <w:t xml:space="preserve">https://www.accure.net/company/case-studies</w:t>
        </w:r>
      </w:hyperlink>
    </w:p>
    <w:p>
      <w:pPr>
        <w:spacing w:after="40" w:before="0" w:line="264"/>
      </w:pPr>
      <w:r>
        <w:rPr>
          <w:rFonts w:ascii="Pretendard" w:cs="Pretendard" w:eastAsia="Pretendard" w:hAnsi="Pretendard"/>
          <w:color w:val="222222"/>
          <w:sz w:val="17"/>
          <w:szCs w:val="17"/>
        </w:rPr>
        <w:t xml:space="preserve">[47] EFRC, API 618 6th edition 검토 보고서 </w:t>
      </w:r>
      <w:hyperlink w:history="1" r:id="rIdljtrtlev7frcxtm4gri7r">
        <w:r>
          <w:rPr>
            <w:rFonts w:ascii="Pretendard" w:cs="Pretendard" w:eastAsia="Pretendard" w:hAnsi="Pretendard"/>
            <w:color w:val="4081ED"/>
            <w:sz w:val="16"/>
            <w:szCs w:val="16"/>
          </w:rPr>
          <w:t xml:space="preserve">https://www.recip.org/wp-content/uploads/2025/05/EFRC-Report-Review-API-618-6th-edition-API-688-2nd-edition-Part-1-V1.pdf</w:t>
        </w:r>
      </w:hyperlink>
    </w:p>
    <w:p>
      <w:pPr>
        <w:spacing w:after="40" w:before="0" w:line="264"/>
      </w:pPr>
      <w:r>
        <w:rPr>
          <w:rFonts w:ascii="Pretendard" w:cs="Pretendard" w:eastAsia="Pretendard" w:hAnsi="Pretendard"/>
          <w:color w:val="222222"/>
          <w:sz w:val="17"/>
          <w:szCs w:val="17"/>
        </w:rPr>
        <w:t xml:space="preserve">[48] NIST SP 800-82 Rev.3, Guide to OT Security </w:t>
      </w:r>
      <w:hyperlink w:history="1" r:id="rIdm9m_c2uad9_nv5lgg7zo6">
        <w:r>
          <w:rPr>
            <w:rFonts w:ascii="Pretendard" w:cs="Pretendard" w:eastAsia="Pretendard" w:hAnsi="Pretendard"/>
            <w:color w:val="4081ED"/>
            <w:sz w:val="16"/>
            <w:szCs w:val="16"/>
          </w:rPr>
          <w:t xml:space="preserve">https://nvlpubs.nist.gov/nistpubs/SpecialPublications/NIST.SP.800-82r3.pdf</w:t>
        </w:r>
      </w:hyperlink>
    </w:p>
    <w:p>
      <w:pPr>
        <w:spacing w:after="40" w:before="0" w:line="264"/>
      </w:pPr>
      <w:r>
        <w:rPr>
          <w:rFonts w:ascii="Pretendard" w:cs="Pretendard" w:eastAsia="Pretendard" w:hAnsi="Pretendard"/>
          <w:color w:val="222222"/>
          <w:sz w:val="17"/>
          <w:szCs w:val="17"/>
        </w:rPr>
        <w:t xml:space="preserve">[49] ISA/IEC 62443 Series of Standards </w:t>
      </w:r>
      <w:hyperlink w:history="1" r:id="rId9wmhmtozq9c1u6vnvjqbt">
        <w:r>
          <w:rPr>
            <w:rFonts w:ascii="Pretendard" w:cs="Pretendard" w:eastAsia="Pretendard" w:hAnsi="Pretendard"/>
            <w:color w:val="4081ED"/>
            <w:sz w:val="16"/>
            <w:szCs w:val="16"/>
          </w:rPr>
          <w:t xml:space="preserve">https://www.isa.org/standards-and-publications/isa-standards/isa-iec-62443-series-of-standards</w:t>
        </w:r>
      </w:hyperlink>
    </w:p>
    <w:p>
      <w:pPr>
        <w:spacing w:after="40" w:before="0" w:line="264"/>
      </w:pPr>
      <w:r>
        <w:rPr>
          <w:rFonts w:ascii="Pretendard" w:cs="Pretendard" w:eastAsia="Pretendard" w:hAnsi="Pretendard"/>
          <w:color w:val="222222"/>
          <w:sz w:val="17"/>
          <w:szCs w:val="17"/>
        </w:rPr>
        <w:t xml:space="preserve">[50] ISO 14224 설비 분류체계 해설 </w:t>
      </w:r>
      <w:hyperlink w:history="1" r:id="rIdgchmgncmakbhnm6csnoqn">
        <w:r>
          <w:rPr>
            <w:rFonts w:ascii="Pretendard" w:cs="Pretendard" w:eastAsia="Pretendard" w:hAnsi="Pretendard"/>
            <w:color w:val="4081ED"/>
            <w:sz w:val="16"/>
            <w:szCs w:val="16"/>
          </w:rPr>
          <w:t xml:space="preserve">https://cpcongroup.com/insights/article/iso-14224-equipment-taxonomy/</w:t>
        </w:r>
      </w:hyperlink>
    </w:p>
    <w:p>
      <w:pPr>
        <w:spacing w:after="40" w:before="0" w:line="264"/>
      </w:pPr>
      <w:r>
        <w:rPr>
          <w:rFonts w:ascii="Pretendard" w:cs="Pretendard" w:eastAsia="Pretendard" w:hAnsi="Pretendard"/>
          <w:color w:val="222222"/>
          <w:sz w:val="17"/>
          <w:szCs w:val="17"/>
        </w:rPr>
        <w:t xml:space="preserve">[51] SunSpec Alliance 정보 모델 </w:t>
      </w:r>
      <w:hyperlink w:history="1" r:id="rIdawxgnmgvstxoohwqbxaz4">
        <w:r>
          <w:rPr>
            <w:rFonts w:ascii="Pretendard" w:cs="Pretendard" w:eastAsia="Pretendard" w:hAnsi="Pretendard"/>
            <w:color w:val="4081ED"/>
            <w:sz w:val="16"/>
            <w:szCs w:val="16"/>
          </w:rPr>
          <w:t xml:space="preserve">https://github.com/sunspec/models</w:t>
        </w:r>
      </w:hyperlink>
    </w:p>
    <w:p>
      <w:pPr>
        <w:spacing w:after="40" w:before="0" w:line="264"/>
      </w:pPr>
      <w:r>
        <w:rPr>
          <w:rFonts w:ascii="Pretendard" w:cs="Pretendard" w:eastAsia="Pretendard" w:hAnsi="Pretendard"/>
          <w:color w:val="222222"/>
          <w:sz w:val="17"/>
          <w:szCs w:val="17"/>
        </w:rPr>
        <w:t xml:space="preserve">[52] 한국에너지공단 REMS 소개 및 연동안내(2019) </w:t>
      </w:r>
      <w:hyperlink w:history="1" r:id="rId3aampcdb4feavmyk7ksog">
        <w:r>
          <w:rPr>
            <w:rFonts w:ascii="Pretendard" w:cs="Pretendard" w:eastAsia="Pretendard" w:hAnsi="Pretendard"/>
            <w:color w:val="4081ED"/>
            <w:sz w:val="16"/>
            <w:szCs w:val="16"/>
          </w:rPr>
          <w:t xml:space="preserve">https://www.knrec.or.kr/biz/pds/news/view.do?no=19</w:t>
        </w:r>
      </w:hyperlink>
    </w:p>
    <w:p>
      <w:pPr>
        <w:spacing w:after="40" w:before="0" w:line="264"/>
      </w:pPr>
      <w:r>
        <w:rPr>
          <w:rFonts w:ascii="Pretendard" w:cs="Pretendard" w:eastAsia="Pretendard" w:hAnsi="Pretendard"/>
          <w:color w:val="222222"/>
          <w:sz w:val="17"/>
          <w:szCs w:val="17"/>
        </w:rPr>
        <w:t xml:space="preserve">[53] Jordan &amp; Kurtz, Photovoltaic Degradation Rates — An Analytical Review </w:t>
      </w:r>
      <w:hyperlink w:history="1" r:id="rIddruq4hyx9b2htlopu_vix">
        <w:r>
          <w:rPr>
            <w:rFonts w:ascii="Pretendard" w:cs="Pretendard" w:eastAsia="Pretendard" w:hAnsi="Pretendard"/>
            <w:color w:val="4081ED"/>
            <w:sz w:val="16"/>
            <w:szCs w:val="16"/>
          </w:rPr>
          <w:t xml:space="preserve">https://www.osti.gov/biblio/1073525</w:t>
        </w:r>
      </w:hyperlink>
    </w:p>
    <w:p>
      <w:pPr>
        <w:spacing w:after="40" w:before="0" w:line="264"/>
      </w:pPr>
      <w:r>
        <w:rPr>
          <w:rFonts w:ascii="Pretendard" w:cs="Pretendard" w:eastAsia="Pretendard" w:hAnsi="Pretendard"/>
          <w:color w:val="222222"/>
          <w:sz w:val="17"/>
          <w:szCs w:val="17"/>
        </w:rPr>
        <w:t xml:space="preserve">[54] Naumann et al. 2018, Calendar aging of commercial LiFePO4/graphite cell </w:t>
      </w:r>
      <w:hyperlink w:history="1" r:id="rIdsg4wyiqeezegj9mxuwmzr">
        <w:r>
          <w:rPr>
            <w:rFonts w:ascii="Pretendard" w:cs="Pretendard" w:eastAsia="Pretendard" w:hAnsi="Pretendard"/>
            <w:color w:val="4081ED"/>
            <w:sz w:val="16"/>
            <w:szCs w:val="16"/>
          </w:rPr>
          <w:t xml:space="preserve">https://portal.fis.tum.de/en/publications/analysis-and-modeling-of-calendar-aging-of-a-commercial-lifeposub/</w:t>
        </w:r>
      </w:hyperlink>
    </w:p>
    <w:p>
      <w:pPr>
        <w:spacing w:after="40" w:before="0" w:line="264"/>
      </w:pPr>
      <w:r>
        <w:rPr>
          <w:rFonts w:ascii="Pretendard" w:cs="Pretendard" w:eastAsia="Pretendard" w:hAnsi="Pretendard"/>
          <w:color w:val="222222"/>
          <w:sz w:val="17"/>
          <w:szCs w:val="17"/>
        </w:rPr>
        <w:t xml:space="preserve">[55] Sandia(Preger et al. 2020), Degradation of Commercial Li-ion Cells </w:t>
      </w:r>
      <w:hyperlink w:history="1" r:id="rIdbmd4mmrlcifqcwko17kqv">
        <w:r>
          <w:rPr>
            <w:rFonts w:ascii="Pretendard" w:cs="Pretendard" w:eastAsia="Pretendard" w:hAnsi="Pretendard"/>
            <w:color w:val="4081ED"/>
            <w:sz w:val="16"/>
            <w:szCs w:val="16"/>
          </w:rPr>
          <w:t xml:space="preserve">https://www.osti.gov/pages/biblio/1650174</w:t>
        </w:r>
      </w:hyperlink>
    </w:p>
    <w:p>
      <w:pPr>
        <w:spacing w:after="40" w:before="0" w:line="264"/>
      </w:pPr>
      <w:r>
        <w:rPr>
          <w:rFonts w:ascii="Pretendard" w:cs="Pretendard" w:eastAsia="Pretendard" w:hAnsi="Pretendard"/>
          <w:color w:val="222222"/>
          <w:sz w:val="17"/>
          <w:szCs w:val="17"/>
        </w:rPr>
        <w:t xml:space="preserve">[56] PDC Machines, Hydrogen Compressors for Refueling Stations </w:t>
      </w:r>
      <w:hyperlink w:history="1" r:id="rIdf_xbiyidjkcipx1a1capb">
        <w:r>
          <w:rPr>
            <w:rFonts w:ascii="Pretendard" w:cs="Pretendard" w:eastAsia="Pretendard" w:hAnsi="Pretendard"/>
            <w:color w:val="4081ED"/>
            <w:sz w:val="16"/>
            <w:szCs w:val="16"/>
          </w:rPr>
          <w:t xml:space="preserve">https://www.pdcmachines.com/hydrogen-compressors-for-hydrogen-refueling-stations/</w:t>
        </w:r>
      </w:hyperlink>
    </w:p>
    <w:p>
      <w:pPr>
        <w:spacing w:after="40" w:before="0" w:line="264"/>
      </w:pPr>
      <w:r>
        <w:rPr>
          <w:rFonts w:ascii="Pretendard" w:cs="Pretendard" w:eastAsia="Pretendard" w:hAnsi="Pretendard"/>
          <w:color w:val="222222"/>
          <w:sz w:val="17"/>
          <w:szCs w:val="17"/>
        </w:rPr>
        <w:t xml:space="preserve">[57] IJHE 2023, Diagnosis of diaphragm state based on dynamic oil pressure </w:t>
      </w:r>
      <w:hyperlink w:history="1" r:id="rIdnegndgoxavukgfyhb4yjt">
        <w:r>
          <w:rPr>
            <w:rFonts w:ascii="Pretendard" w:cs="Pretendard" w:eastAsia="Pretendard" w:hAnsi="Pretendard"/>
            <w:color w:val="4081ED"/>
            <w:sz w:val="16"/>
            <w:szCs w:val="16"/>
          </w:rPr>
          <w:t xml:space="preserve">https://doi.org/10.1016/j.ijhydene.2023.06.214</w:t>
        </w:r>
      </w:hyperlink>
    </w:p>
    <w:p>
      <w:pPr>
        <w:spacing w:after="40" w:before="0" w:line="264"/>
      </w:pPr>
      <w:r>
        <w:rPr>
          <w:rFonts w:ascii="Pretendard" w:cs="Pretendard" w:eastAsia="Pretendard" w:hAnsi="Pretendard"/>
          <w:color w:val="222222"/>
          <w:sz w:val="17"/>
          <w:szCs w:val="17"/>
        </w:rPr>
        <w:t xml:space="preserve">[58] Micheli et al. 2021, Energy — 오염 세척 일정 최적화 </w:t>
      </w:r>
      <w:hyperlink w:history="1" r:id="rId8dgcmpz_xd9yq2jhbjcde">
        <w:r>
          <w:rPr>
            <w:rFonts w:ascii="Pretendard" w:cs="Pretendard" w:eastAsia="Pretendard" w:hAnsi="Pretendard"/>
            <w:color w:val="4081ED"/>
            <w:sz w:val="16"/>
            <w:szCs w:val="16"/>
          </w:rPr>
          <w:t xml:space="preserve">https://www.sciencedirect.com/science/article/abs/pii/S0360544220321253</w:t>
        </w:r>
      </w:hyperlink>
    </w:p>
    <w:p>
      <w:pPr>
        <w:spacing w:after="40" w:before="0" w:line="264"/>
      </w:pPr>
      <w:r>
        <w:rPr>
          <w:rFonts w:ascii="Pretendard" w:cs="Pretendard" w:eastAsia="Pretendard" w:hAnsi="Pretendard"/>
          <w:color w:val="222222"/>
          <w:sz w:val="17"/>
          <w:szCs w:val="17"/>
        </w:rPr>
        <w:t xml:space="preserve">[59] 오원욱·천성일 2015, 태양전지 모듈의 소일링에 의한 성능 저하 </w:t>
      </w:r>
      <w:hyperlink w:history="1" r:id="rIdxp6mnp8s4gnhi6irko7uy">
        <w:r>
          <w:rPr>
            <w:rFonts w:ascii="Pretendard" w:cs="Pretendard" w:eastAsia="Pretendard" w:hAnsi="Pretendard"/>
            <w:color w:val="4081ED"/>
            <w:sz w:val="16"/>
            <w:szCs w:val="16"/>
          </w:rPr>
          <w:t xml:space="preserve">https://koreascience.kr/article/JAKO201514751644626.pdf</w:t>
        </w:r>
      </w:hyperlink>
    </w:p>
    <w:p>
      <w:pPr>
        <w:spacing w:after="40" w:before="0" w:line="264"/>
      </w:pPr>
      <w:r>
        <w:rPr>
          <w:rFonts w:ascii="Pretendard" w:cs="Pretendard" w:eastAsia="Pretendard" w:hAnsi="Pretendard"/>
          <w:color w:val="222222"/>
          <w:sz w:val="17"/>
          <w:szCs w:val="17"/>
        </w:rPr>
        <w:t xml:space="preserve">[60] NREL Smith et al. 2017, Battery life model(열관리 영향) </w:t>
      </w:r>
      <w:hyperlink w:history="1" r:id="rIdgi9yg_3af8nsiqwom6dex">
        <w:r>
          <w:rPr>
            <w:rFonts w:ascii="Pretendard" w:cs="Pretendard" w:eastAsia="Pretendard" w:hAnsi="Pretendard"/>
            <w:color w:val="4081ED"/>
            <w:sz w:val="16"/>
            <w:szCs w:val="16"/>
          </w:rPr>
          <w:t xml:space="preserve">https://docs.nlr.gov/docs/fy17osti/67102.pdf</w:t>
        </w:r>
      </w:hyperlink>
    </w:p>
    <w:p>
      <w:pPr>
        <w:spacing w:after="40" w:before="0" w:line="264"/>
      </w:pPr>
      <w:r>
        <w:rPr>
          <w:rFonts w:ascii="Pretendard" w:cs="Pretendard" w:eastAsia="Pretendard" w:hAnsi="Pretendard"/>
          <w:color w:val="222222"/>
          <w:sz w:val="17"/>
          <w:szCs w:val="17"/>
        </w:rPr>
        <w:t xml:space="preserve">[61] Chandran et al. 2022, Scientific Reports — PEMFC 부하 사이클 열화 </w:t>
      </w:r>
      <w:hyperlink w:history="1" r:id="rId1_kuoi5giik6yrgd3t_v9">
        <w:r>
          <w:rPr>
            <w:rFonts w:ascii="Pretendard" w:cs="Pretendard" w:eastAsia="Pretendard" w:hAnsi="Pretendard"/>
            <w:color w:val="4081ED"/>
            <w:sz w:val="16"/>
            <w:szCs w:val="16"/>
          </w:rPr>
          <w:t xml:space="preserve">https://pmc.ncbi.nlm.nih.gov/articles/PMC9763490/</w:t>
        </w:r>
      </w:hyperlink>
    </w:p>
    <w:p>
      <w:pPr>
        <w:spacing w:after="40" w:before="0" w:line="264"/>
      </w:pPr>
      <w:r>
        <w:rPr>
          <w:rFonts w:ascii="Pretendard" w:cs="Pretendard" w:eastAsia="Pretendard" w:hAnsi="Pretendard"/>
          <w:color w:val="222222"/>
          <w:sz w:val="17"/>
          <w:szCs w:val="17"/>
        </w:rPr>
        <w:t xml:space="preserve">[62] 산업통상자원부, ESS 화재 원인조사와 안전강화 대책 </w:t>
      </w:r>
      <w:hyperlink w:history="1" r:id="rIdf7meovchza_i8vljxvk3t">
        <w:r>
          <w:rPr>
            <w:rFonts w:ascii="Pretendard" w:cs="Pretendard" w:eastAsia="Pretendard" w:hAnsi="Pretendard"/>
            <w:color w:val="4081ED"/>
            <w:sz w:val="16"/>
            <w:szCs w:val="16"/>
          </w:rPr>
          <w:t xml:space="preserve">https://www.korea.kr/news/policyNewsView.do?newsId=156335827</w:t>
        </w:r>
      </w:hyperlink>
    </w:p>
    <w:p>
      <w:pPr>
        <w:spacing w:after="40" w:before="0" w:line="264"/>
      </w:pPr>
      <w:r>
        <w:rPr>
          <w:rFonts w:ascii="Pretendard" w:cs="Pretendard" w:eastAsia="Pretendard" w:hAnsi="Pretendard"/>
          <w:color w:val="222222"/>
          <w:sz w:val="17"/>
          <w:szCs w:val="17"/>
        </w:rPr>
        <w:t xml:space="preserve">[63] Audibert et al. 2022, Do Deep Neural Networks Contribute to Multivariate Time Series Anomaly Detection? </w:t>
      </w:r>
      <w:hyperlink w:history="1" r:id="rId_sr77tfu2c0j91jssbpor">
        <w:r>
          <w:rPr>
            <w:rFonts w:ascii="Pretendard" w:cs="Pretendard" w:eastAsia="Pretendard" w:hAnsi="Pretendard"/>
            <w:color w:val="4081ED"/>
            <w:sz w:val="16"/>
            <w:szCs w:val="16"/>
          </w:rPr>
          <w:t xml:space="preserve">https://arxiv.org/abs/2204.01637</w:t>
        </w:r>
      </w:hyperlink>
    </w:p>
    <w:p>
      <w:pPr>
        <w:spacing w:after="40" w:before="0" w:line="264"/>
      </w:pPr>
      <w:r>
        <w:rPr>
          <w:rFonts w:ascii="Pretendard" w:cs="Pretendard" w:eastAsia="Pretendard" w:hAnsi="Pretendard"/>
          <w:color w:val="222222"/>
          <w:sz w:val="17"/>
          <w:szCs w:val="17"/>
        </w:rPr>
        <w:t xml:space="preserve">[64] Hundman et al. 2018, Detecting Spacecraft Anomalies Using LSTMs </w:t>
      </w:r>
      <w:hyperlink w:history="1" r:id="rIda8sayu_l1brav8arfg5bw">
        <w:r>
          <w:rPr>
            <w:rFonts w:ascii="Pretendard" w:cs="Pretendard" w:eastAsia="Pretendard" w:hAnsi="Pretendard"/>
            <w:color w:val="4081ED"/>
            <w:sz w:val="16"/>
            <w:szCs w:val="16"/>
          </w:rPr>
          <w:t xml:space="preserve">https://arxiv.org/abs/1802.04431</w:t>
        </w:r>
      </w:hyperlink>
    </w:p>
    <w:p>
      <w:pPr>
        <w:spacing w:after="40" w:before="0" w:line="264"/>
      </w:pPr>
      <w:r>
        <w:rPr>
          <w:rFonts w:ascii="Pretendard" w:cs="Pretendard" w:eastAsia="Pretendard" w:hAnsi="Pretendard"/>
          <w:color w:val="222222"/>
          <w:sz w:val="17"/>
          <w:szCs w:val="17"/>
        </w:rPr>
        <w:t xml:space="preserve">[65] Tan et al. 2024(NeurIPS), Are Language Models Actually Useful for Time Series Forecasting? </w:t>
      </w:r>
      <w:hyperlink w:history="1" r:id="rIdvbxivq9cn_ccaxe1q8wht">
        <w:r>
          <w:rPr>
            <w:rFonts w:ascii="Pretendard" w:cs="Pretendard" w:eastAsia="Pretendard" w:hAnsi="Pretendard"/>
            <w:color w:val="4081ED"/>
            <w:sz w:val="16"/>
            <w:szCs w:val="16"/>
          </w:rPr>
          <w:t xml:space="preserve">https://arxiv.org/abs/2406.16964</w:t>
        </w:r>
      </w:hyperlink>
    </w:p>
    <w:p>
      <w:pPr>
        <w:spacing w:after="40" w:before="0" w:line="264"/>
      </w:pPr>
      <w:r>
        <w:rPr>
          <w:rFonts w:ascii="Pretendard" w:cs="Pretendard" w:eastAsia="Pretendard" w:hAnsi="Pretendard"/>
          <w:color w:val="222222"/>
          <w:sz w:val="17"/>
          <w:szCs w:val="17"/>
        </w:rPr>
        <w:t xml:space="preserve">[66] Gao et al. 2023, PAL: Program-aided Language Models </w:t>
      </w:r>
      <w:hyperlink w:history="1" r:id="rIdkekwspsvpyujmuh89zkrz">
        <w:r>
          <w:rPr>
            <w:rFonts w:ascii="Pretendard" w:cs="Pretendard" w:eastAsia="Pretendard" w:hAnsi="Pretendard"/>
            <w:color w:val="4081ED"/>
            <w:sz w:val="16"/>
            <w:szCs w:val="16"/>
          </w:rPr>
          <w:t xml:space="preserve">https://arxiv.org/abs/2211.10435</w:t>
        </w:r>
      </w:hyperlink>
    </w:p>
    <w:p>
      <w:pPr>
        <w:spacing w:after="40" w:before="0" w:line="264"/>
      </w:pPr>
      <w:r>
        <w:rPr>
          <w:rFonts w:ascii="Pretendard" w:cs="Pretendard" w:eastAsia="Pretendard" w:hAnsi="Pretendard"/>
          <w:color w:val="222222"/>
          <w:sz w:val="17"/>
          <w:szCs w:val="17"/>
        </w:rPr>
        <w:t xml:space="preserve">[67] IEA PVPS Task 13, Review on IR and EL Imaging for PV Field Applications </w:t>
      </w:r>
      <w:hyperlink w:history="1" r:id="rIdhsakxd207tce4ynizsmqi">
        <w:r>
          <w:rPr>
            <w:rFonts w:ascii="Pretendard" w:cs="Pretendard" w:eastAsia="Pretendard" w:hAnsi="Pretendard"/>
            <w:color w:val="4081ED"/>
            <w:sz w:val="16"/>
            <w:szCs w:val="16"/>
          </w:rPr>
          <w:t xml:space="preserve">https://iea-pvps.org/wp-content/uploads/2020/01/Review_on_IR_and_EL_Imaging_for_PV_Field_Applications_by_Task_13.pdf</w:t>
        </w:r>
      </w:hyperlink>
    </w:p>
    <w:p>
      <w:pPr>
        <w:spacing w:after="40" w:before="0" w:line="264"/>
      </w:pPr>
      <w:r>
        <w:rPr>
          <w:rFonts w:ascii="Pretendard" w:cs="Pretendard" w:eastAsia="Pretendard" w:hAnsi="Pretendard"/>
          <w:color w:val="222222"/>
          <w:sz w:val="17"/>
          <w:szCs w:val="17"/>
        </w:rPr>
        <w:t xml:space="preserve">[68] MIMOSA OSA-CBM(ISO 13374 구현) </w:t>
      </w:r>
      <w:hyperlink w:history="1" r:id="rId_gd3c_1z3emciki7xdfup">
        <w:r>
          <w:rPr>
            <w:rFonts w:ascii="Pretendard" w:cs="Pretendard" w:eastAsia="Pretendard" w:hAnsi="Pretendard"/>
            <w:color w:val="4081ED"/>
            <w:sz w:val="16"/>
            <w:szCs w:val="16"/>
          </w:rPr>
          <w:t xml:space="preserve">https://www.mimosa.org/mimosa-osa-cbm/</w:t>
        </w:r>
      </w:hyperlink>
    </w:p>
    <w:sectPr>
      <w:footerReference w:type="default" r:id="rId8"/>
      <w:type w:val="nextPage"/>
      <w:pgSz w:w="12240" w:h="15840" w:orient="portrait"/>
      <w:pgMar w:top="1440" w:right="1584" w:bottom="1440" w:left="1584"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85858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8585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retendard" w:cs="Pretendard" w:eastAsia="Pretendard" w:hAnsi="Pretendard"/>
      <w:b/>
      <w:bCs/>
      <w:color w:val="4081ED"/>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fgo0g4_f6pa9nhdezslse" Type="http://schemas.openxmlformats.org/officeDocument/2006/relationships/hyperlink" Target="https://docs.nlr.gov/docs/fy19osti/73822.pdf" TargetMode="External"/><Relationship Id="rIdlsnmtg6mxquzd3pyx3ytt" Type="http://schemas.openxmlformats.org/officeDocument/2006/relationships/hyperlink" Target="https://docs.nlr.gov/docs/fy24osti/88769.pdf" TargetMode="External"/><Relationship Id="rIdcydsuf82fp6bpenao6mmo" Type="http://schemas.openxmlformats.org/officeDocument/2006/relationships/hyperlink" Target="https://iea-pvps.org/wp-content/uploads/2021/04/IEA-PVPS-T13-22_2021-Assessment-of-Performance-Loss-Rate-of-PV-Power-Systems-report.pdf" TargetMode="External"/><Relationship Id="rIdi0j2ipefhnac7tidoli7p" Type="http://schemas.openxmlformats.org/officeDocument/2006/relationships/hyperlink" Target="https://iea-pvps.org/wp-content/uploads/2023/01/Korean-Translation-Report-IEA-PVPS-T13-21_2022-Soiling-Losses.pdf" TargetMode="External"/><Relationship Id="rId__wgfw5jbvsu1ggc1ptjk" Type="http://schemas.openxmlformats.org/officeDocument/2006/relationships/hyperlink" Target="https://iea-pvps.org/wp-content/uploads/2022/11/IEA-PVPS-Report-T13-25-2022-OandM-Guidelines.pdf" TargetMode="External"/><Relationship Id="rIdgep26vmhxd2pefnsoxgmk" Type="http://schemas.openxmlformats.org/officeDocument/2006/relationships/hyperlink" Target="https://www.solarpowereurope.org/insights/thematic-reports/operation-and-maintenance-best-practice-guidelines-version-6-0-1" TargetMode="External"/><Relationship Id="rIduhf8b4fmfsb2diohxvtng" Type="http://schemas.openxmlformats.org/officeDocument/2006/relationships/hyperlink" Target="https://solarbestpractices.com/guidelines/detail/key-performance-indicators" TargetMode="External"/><Relationship Id="rIdhyzhdcxwz5nybyct_duuh" Type="http://schemas.openxmlformats.org/officeDocument/2006/relationships/hyperlink" Target="https://solarbestpractices.com/guidelines/detail/technical-asset-management-2" TargetMode="External"/><Relationship Id="rIdtfnpvuzkzdcn_05hysgqs" Type="http://schemas.openxmlformats.org/officeDocument/2006/relationships/hyperlink" Target="https://solarbestpractices.com/guidelines/detail/data-and-monitoring-requirements" TargetMode="External"/><Relationship Id="rIdu9qskt8ep8zygixyexh02" Type="http://schemas.openxmlformats.org/officeDocument/2006/relationships/hyperlink" Target="https://www.hukx.com/uploads/iec-61724-1-2021-version-what-is-new.pdf" TargetMode="External"/><Relationship Id="rIdps1jru-rre3lvojtihsmf" Type="http://schemas.openxmlformats.org/officeDocument/2006/relationships/hyperlink" Target="https://atb.nlr.gov/electricity/2024/utility-scale_pv" TargetMode="External"/><Relationship Id="rIdjljzdtfztvohkyhmxxc-h" Type="http://schemas.openxmlformats.org/officeDocument/2006/relationships/hyperlink" Target="https://atb.nlr.gov/electricity/2024/utility-scale_battery_storage" TargetMode="External"/><Relationship Id="rId3t7e68m6gqjzeaiaqijyr" Type="http://schemas.openxmlformats.org/officeDocument/2006/relationships/hyperlink" Target="https://www.bfh.ch/dam/jcr:5bfd5c32-f70f-4bf6-8d60-fdab6094e164/2022_09_WCPEC-8_3DV.1.46_-_Life_Expectancy_of_PV_inverters.pdf" TargetMode="External"/><Relationship Id="rIdh0fusfl4gwm0kmjgkgwre" Type="http://schemas.openxmlformats.org/officeDocument/2006/relationships/hyperlink" Target="https://www.ielogical.com/assets/M-125/ElectroAppGUIDE_CDE.pdf" TargetMode="External"/><Relationship Id="rIdiyovaphscdrxa7azfkrl_" Type="http://schemas.openxmlformats.org/officeDocument/2006/relationships/hyperlink" Target="https://www.erlphase.com/downloads/papers/WPRC2010_Fundamental_Principles_of_Transformer_Thermal_Loading.pdf" TargetMode="External"/><Relationship Id="rIdk3vo50im0jx6bs2sm-xqd" Type="http://schemas.openxmlformats.org/officeDocument/2006/relationships/hyperlink" Target="http://www.kepco-webzine.co.kr/06/story02.html" TargetMode="External"/><Relationship Id="rId5u6ubnmkgls4d15m9b_zg" Type="http://schemas.openxmlformats.org/officeDocument/2006/relationships/hyperlink" Target="https://www.pnnl.gov/sites/default/files/media/file/ESGC%20Cost%20Performance%20Report%202022%20PNNL-33283.pdf" TargetMode="External"/><Relationship Id="rIdcywrg_nj9vrstmitg3kjo" Type="http://schemas.openxmlformats.org/officeDocument/2006/relationships/hyperlink" Target="https://www.energy.gov/sites/default/files/2024-01/bess-evaluation-method.pdf" TargetMode="External"/><Relationship Id="rIdq75rdmhayikzchfbmcnaz" Type="http://schemas.openxmlformats.org/officeDocument/2006/relationships/hyperlink" Target="https://restservice.epri.com/publicdownload/000000003002030360/0/Product" TargetMode="External"/><Relationship Id="rIdx4tsa0hz0uhtbw_bie7bq" Type="http://schemas.openxmlformats.org/officeDocument/2006/relationships/hyperlink" Target="https://www.korea.kr/news/policyNewsView.do?newsId=156374464" TargetMode="External"/><Relationship Id="rIdwzcas2-ggkfgpri5e4pm9" Type="http://schemas.openxmlformats.org/officeDocument/2006/relationships/hyperlink" Target="https://www.law.go.kr/LSW/flDownload.do?gubun=&amp;flSeq=158557339&amp;bylClsCd=110201" TargetMode="External"/><Relationship Id="rIdtqoce4snqnmuupbrdo97r" Type="http://schemas.openxmlformats.org/officeDocument/2006/relationships/hyperlink" Target="https://www.energy.gov/cmei/fuels/technical-targets-proton-exchange-membrane-electrolysis" TargetMode="External"/><Relationship Id="rIdd8mbvo0h9afdueleybsa0" Type="http://schemas.openxmlformats.org/officeDocument/2006/relationships/hyperlink" Target="https://www.irena.org/-/media/Files/IRENA/Agency/Publication/2020/Dec/IRENA_Green_hydrogen_cost_2020.pdf" TargetMode="External"/><Relationship Id="rId1f5rtpl8knvs6-aljrv7z" Type="http://schemas.openxmlformats.org/officeDocument/2006/relationships/hyperlink" Target="https://restservice.epri.com/publicdownload/000000003002025148/0/Product" TargetMode="External"/><Relationship Id="rIdj-ebqagqiqwi27o3jzwvt" Type="http://schemas.openxmlformats.org/officeDocument/2006/relationships/hyperlink" Target="https://www.clean-hydrogen.europa.eu/knowledge-management/strategy-map-and-key-performance-indicators/clean-hydrogen-ju-sria-key-performance-indicators-kpis_en" TargetMode="External"/><Relationship Id="rIdbidnkqiirobnvgo-mmrqb" Type="http://schemas.openxmlformats.org/officeDocument/2006/relationships/hyperlink" Target="https://iopscience.iop.org/article/10.1149/2.0421908jes" TargetMode="External"/><Relationship Id="rIdycxbdnmf3c3ukf1p37t5n" Type="http://schemas.openxmlformats.org/officeDocument/2006/relationships/hyperlink" Target="https://publications.jrc.ec.europa.eu/repository/handle/JRC112082" TargetMode="External"/><Relationship Id="rIdiwucrtivf7dyicbaowcng" Type="http://schemas.openxmlformats.org/officeDocument/2006/relationships/hyperlink" Target="https://www.clean-hydrogen.europa.eu/system/files/2024-02/ast.pdf" TargetMode="External"/><Relationship Id="rIdlguo62eryzofu3epigure" Type="http://schemas.openxmlformats.org/officeDocument/2006/relationships/hyperlink" Target="https://www.eiga.eu/uploads/documents/DOC246.pdf" TargetMode="External"/><Relationship Id="rIdflrm29el0mwizkhpzyxj7" Type="http://schemas.openxmlformats.org/officeDocument/2006/relationships/hyperlink" Target="https://h2hub.or.kr/main/info/regulation_info.do?mode=download&amp;articleNo=2572&amp;attachNo=4930" TargetMode="External"/><Relationship Id="rIdnghlzigxh3do0eqed2pk_" Type="http://schemas.openxmlformats.org/officeDocument/2006/relationships/hyperlink" Target="https://h2hub.or.kr/main/info/regulation_info.do?mode=download&amp;articleNo=3039&amp;attachNo=5967" TargetMode="External"/><Relationship Id="rIdgicuqlxio0vntldxmpcfr" Type="http://schemas.openxmlformats.org/officeDocument/2006/relationships/hyperlink" Target="https://www.law.go.kr/LSW//lsInfoP.do?lsiSeq=278383&amp;chrClsCd=010202&amp;urlMode=lsInfoP&amp;efYd=20251001&amp;ancYnChk=0" TargetMode="External"/><Relationship Id="rIdn8walpmyyaf7tufti8-oh" Type="http://schemas.openxmlformats.org/officeDocument/2006/relationships/hyperlink" Target="https://www.law.go.kr/LSW/flDownload.do?gubun=&amp;flSeq=164930287&amp;bylClsCd=110201" TargetMode="External"/><Relationship Id="rIdgvyb8x1-fwz0ewombsjl4" Type="http://schemas.openxmlformats.org/officeDocument/2006/relationships/hyperlink" Target="https://www.law.go.kr/LSW/flDownload.do?gubun=&amp;flSeq=164930307&amp;bylClsCd=110201" TargetMode="External"/><Relationship Id="rIdxybml264yogxpny3l2_oc" Type="http://schemas.openxmlformats.org/officeDocument/2006/relationships/hyperlink" Target="https://www.law.go.kr/LSW/flDownload.do?gubun=&amp;flSeq=164929995&amp;bylClsCd=110201" TargetMode="External"/><Relationship Id="rIdie-34nz5w39rolbsaxrgt" Type="http://schemas.openxmlformats.org/officeDocument/2006/relationships/hyperlink" Target="https://www.osti.gov/servlets/purl/1603259" TargetMode="External"/><Relationship Id="rId2qoo_qlzz9yeak1axecp4" Type="http://schemas.openxmlformats.org/officeDocument/2006/relationships/hyperlink" Target="https://docs.nlr.gov/docs/fy18osti/68773.pdf" TargetMode="External"/><Relationship Id="rId_znuq_bqzryvqsmvcguqj" Type="http://schemas.openxmlformats.org/officeDocument/2006/relationships/hyperlink" Target="https://www.energy.gov/eere/fuelcells/doe-technical-targets-fuel-cell-systems-stationary-combined-heat-and-power" TargetMode="External"/><Relationship Id="rId7-jmbct2bhjpts1ntiu4n" Type="http://schemas.openxmlformats.org/officeDocument/2006/relationships/hyperlink" Target="https://www.epa.gov/sites/default/files/2015-07/documents/catalog_of_chp_technologies_section_6._technology_characterization_-_fuel_cells.pdf" TargetMode="External"/><Relationship Id="rIdsp-ryrnrasq4sehp-jvgg" Type="http://schemas.openxmlformats.org/officeDocument/2006/relationships/hyperlink" Target="https://www.mdpi.com/1996-1073/16/12/4772" TargetMode="External"/><Relationship Id="rIdrx6cvubhboenlok6y_d79" Type="http://schemas.openxmlformats.org/officeDocument/2006/relationships/hyperlink" Target="https://docs.nlr.gov/docs/fy14osti/60796.pdf" TargetMode="External"/><Relationship Id="rId6uwlg3_6mkkhirlzv_362" Type="http://schemas.openxmlformats.org/officeDocument/2006/relationships/hyperlink" Target="https://arxiv.org/abs/2405.20362" TargetMode="External"/><Relationship Id="rIdc6pzxlqlm8lnzs1eoned0" Type="http://schemas.openxmlformats.org/officeDocument/2006/relationships/hyperlink" Target="https://cyber.kepco.co.kr/ckepco/front/jsp/CY/H/C/CYHCHP00802.jsp" TargetMode="External"/><Relationship Id="rIdyslpzdhto1wrqkp3jngs4" Type="http://schemas.openxmlformats.org/officeDocument/2006/relationships/hyperlink" Target="https://zdnet.co.kr/view/?no=20241007084436" TargetMode="External"/><Relationship Id="rIdptenx6qweg_t-1skslaz4" Type="http://schemas.openxmlformats.org/officeDocument/2006/relationships/hyperlink" Target="https://ieafuelcell.com/wp-content/uploads/2024/11/2021-stationary-application-performance.pdf" TargetMode="External"/><Relationship Id="rIdo3p3xgugdzum_f4tv6hdw" Type="http://schemas.openxmlformats.org/officeDocument/2006/relationships/hyperlink" Target="https://www.accure.net/company/case-studies" TargetMode="External"/><Relationship Id="rIdljtrtlev7frcxtm4gri7r" Type="http://schemas.openxmlformats.org/officeDocument/2006/relationships/hyperlink" Target="https://www.recip.org/wp-content/uploads/2025/05/EFRC-Report-Review-API-618-6th-edition-API-688-2nd-edition-Part-1-V1.pdf" TargetMode="External"/><Relationship Id="rIdm9m_c2uad9_nv5lgg7zo6" Type="http://schemas.openxmlformats.org/officeDocument/2006/relationships/hyperlink" Target="https://nvlpubs.nist.gov/nistpubs/SpecialPublications/NIST.SP.800-82r3.pdf" TargetMode="External"/><Relationship Id="rId9wmhmtozq9c1u6vnvjqbt" Type="http://schemas.openxmlformats.org/officeDocument/2006/relationships/hyperlink" Target="https://www.isa.org/standards-and-publications/isa-standards/isa-iec-62443-series-of-standards" TargetMode="External"/><Relationship Id="rIdgchmgncmakbhnm6csnoqn" Type="http://schemas.openxmlformats.org/officeDocument/2006/relationships/hyperlink" Target="https://cpcongroup.com/insights/article/iso-14224-equipment-taxonomy/" TargetMode="External"/><Relationship Id="rIdawxgnmgvstxoohwqbxaz4" Type="http://schemas.openxmlformats.org/officeDocument/2006/relationships/hyperlink" Target="https://github.com/sunspec/models" TargetMode="External"/><Relationship Id="rId3aampcdb4feavmyk7ksog" Type="http://schemas.openxmlformats.org/officeDocument/2006/relationships/hyperlink" Target="https://www.knrec.or.kr/biz/pds/news/view.do?no=19" TargetMode="External"/><Relationship Id="rIddruq4hyx9b2htlopu_vix" Type="http://schemas.openxmlformats.org/officeDocument/2006/relationships/hyperlink" Target="https://www.osti.gov/biblio/1073525" TargetMode="External"/><Relationship Id="rIdsg4wyiqeezegj9mxuwmzr" Type="http://schemas.openxmlformats.org/officeDocument/2006/relationships/hyperlink" Target="https://portal.fis.tum.de/en/publications/analysis-and-modeling-of-calendar-aging-of-a-commercial-lifeposub/" TargetMode="External"/><Relationship Id="rIdbmd4mmrlcifqcwko17kqv" Type="http://schemas.openxmlformats.org/officeDocument/2006/relationships/hyperlink" Target="https://www.osti.gov/pages/biblio/1650174" TargetMode="External"/><Relationship Id="rIdf_xbiyidjkcipx1a1capb" Type="http://schemas.openxmlformats.org/officeDocument/2006/relationships/hyperlink" Target="https://www.pdcmachines.com/hydrogen-compressors-for-hydrogen-refueling-stations/" TargetMode="External"/><Relationship Id="rIdnegndgoxavukgfyhb4yjt" Type="http://schemas.openxmlformats.org/officeDocument/2006/relationships/hyperlink" Target="https://doi.org/10.1016/j.ijhydene.2023.06.214" TargetMode="External"/><Relationship Id="rId8dgcmpz_xd9yq2jhbjcde" Type="http://schemas.openxmlformats.org/officeDocument/2006/relationships/hyperlink" Target="https://www.sciencedirect.com/science/article/abs/pii/S0360544220321253" TargetMode="External"/><Relationship Id="rIdxp6mnp8s4gnhi6irko7uy" Type="http://schemas.openxmlformats.org/officeDocument/2006/relationships/hyperlink" Target="https://koreascience.kr/article/JAKO201514751644626.pdf" TargetMode="External"/><Relationship Id="rIdgi9yg_3af8nsiqwom6dex" Type="http://schemas.openxmlformats.org/officeDocument/2006/relationships/hyperlink" Target="https://docs.nlr.gov/docs/fy17osti/67102.pdf" TargetMode="External"/><Relationship Id="rId1_kuoi5giik6yrgd3t_v9" Type="http://schemas.openxmlformats.org/officeDocument/2006/relationships/hyperlink" Target="https://pmc.ncbi.nlm.nih.gov/articles/PMC9763490/" TargetMode="External"/><Relationship Id="rIdf7meovchza_i8vljxvk3t" Type="http://schemas.openxmlformats.org/officeDocument/2006/relationships/hyperlink" Target="https://www.korea.kr/news/policyNewsView.do?newsId=156335827" TargetMode="External"/><Relationship Id="rId_sr77tfu2c0j91jssbpor" Type="http://schemas.openxmlformats.org/officeDocument/2006/relationships/hyperlink" Target="https://arxiv.org/abs/2204.01637" TargetMode="External"/><Relationship Id="rIda8sayu_l1brav8arfg5bw" Type="http://schemas.openxmlformats.org/officeDocument/2006/relationships/hyperlink" Target="https://arxiv.org/abs/1802.04431" TargetMode="External"/><Relationship Id="rIdvbxivq9cn_ccaxe1q8wht" Type="http://schemas.openxmlformats.org/officeDocument/2006/relationships/hyperlink" Target="https://arxiv.org/abs/2406.16964" TargetMode="External"/><Relationship Id="rIdkekwspsvpyujmuh89zkrz" Type="http://schemas.openxmlformats.org/officeDocument/2006/relationships/hyperlink" Target="https://arxiv.org/abs/2211.10435" TargetMode="External"/><Relationship Id="rIdhsakxd207tce4ynizsmqi" Type="http://schemas.openxmlformats.org/officeDocument/2006/relationships/hyperlink" Target="https://iea-pvps.org/wp-content/uploads/2020/01/Review_on_IR_and_EL_Imaging_for_PV_Field_Applications_by_Task_13.pdf" TargetMode="External"/><Relationship Id="rId_gd3c_1z3emciki7xdfup" Type="http://schemas.openxmlformats.org/officeDocument/2006/relationships/hyperlink" Target="https://www.mimosa.org/mimosa-osa-cbm/" TargetMode="External"/><Relationship Id="rId9" Type="http://schemas.openxmlformats.org/officeDocument/2006/relationships/image" Target="media/66c66e3cf0e83b4e8c69119d9f6608e03aeff0cd.png"/><Relationship Id="rId10" Type="http://schemas.openxmlformats.org/officeDocument/2006/relationships/image" Target="media/8654df338a2e4d80130ea6bf654a818bf104a4d7.png"/><Relationship Id="rId11" Type="http://schemas.openxmlformats.org/officeDocument/2006/relationships/image" Target="media/deebc48d4576d6efd33b036c24b0654e9a2a4935.png"/><Relationship Id="rId12" Type="http://schemas.openxmlformats.org/officeDocument/2006/relationships/image" Target="media/49789cdc8748fba0684b876267cc9d5e3961fe07.png"/><Relationship Id="rId13" Type="http://schemas.openxmlformats.org/officeDocument/2006/relationships/image" Target="media/dfe4e53750ca614077b7fa685b2745fc6a3a3b79.png"/><Relationship Id="rId14" Type="http://schemas.openxmlformats.org/officeDocument/2006/relationships/image" Target="media/685ffddf5b0f3d83108fbfbbf32bd666a3cd19a1.pn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설비 데이터로 보는 수명과 개선 여지</dc:title>
  <dc:creator>주식회사 퍼스트씨앤디</dc:creator>
  <dc:description>보통 받는 데이터 · 월/분기 AI 분석 · 리포트 예상안</dc:description>
  <cp:lastModifiedBy>Un-named</cp:lastModifiedBy>
  <cp:revision>1</cp:revision>
  <dcterms:created xsi:type="dcterms:W3CDTF">2026-09-14T11:16:55.968Z</dcterms:created>
  <dcterms:modified xsi:type="dcterms:W3CDTF">2026-09-14T11:16:55.970Z</dcterms:modified>
</cp:coreProperties>
</file>

<file path=docProps/custom.xml><?xml version="1.0" encoding="utf-8"?>
<Properties xmlns="http://schemas.openxmlformats.org/officeDocument/2006/custom-properties" xmlns:vt="http://schemas.openxmlformats.org/officeDocument/2006/docPropsVTypes"/>
</file>