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佛说禅行三十七品经</w:t>
      </w:r>
    </w:p>
    <w:p>
      <w:r>
        <w:t xml:space="preserve">　　后汉安息国三藏安世高译</w:t>
      </w:r>
    </w:p>
    <w:p>
      <w:r>
        <w:t xml:space="preserve">　　闻如是。一时佛游于舍卫国祇树给孤独园。佛言。诸比丘。若能弹指间惟行自身身止观。外身身止观。内外身身止观。分别念解世间痴恼。是为精进。为如佛教。非是愚痴食人施。何况能多行者。摄取其要。若弹指间止观痛。若止观意及止观法。内外分别念解世间痴恼。皆如上说。何况多行者。是故可念行四意止。</w:t>
      </w:r>
    </w:p>
    <w:p>
      <w:r>
        <w:t xml:space="preserve">　　佛言。诸比丘。若弹指间惟行未生恶法不令生。劝意治行精进摄意。是为精进行禅。为如佛教。不是愚痴食人施。何况多行者。摄取其要。若弹指间惟行已生恶法即得断。若惟行未生善法便发生。及已生善法立不忘增行得满。劝意治行精进摄意。皆如上说。何况多行者。是故可念行四意断。</w:t>
      </w:r>
    </w:p>
    <w:p>
      <w:r>
        <w:t xml:space="preserve">　　佛言。诸比丘。若弹指间惟行欲定断生死。惟神足。是为最精进行禅。为如佛教。不是愚痴食人施。何况多行者。摄取其要。若弹指间惟行精进定。若惟行意定及戒定断生死。惟神足。皆如上说。何况多行者。是故可念行四神足。</w:t>
      </w:r>
    </w:p>
    <w:p>
      <w:r>
        <w:t xml:space="preserve">　　佛言。诸比丘。若弹指间惟行信根。以见四喜之事。不离佛亦法与众及戒。是为精进行禅。为如佛教。不是愚痴食人施。何况多行者。摄取其要。若弹指间惟行精进根以见四意断。若惟行念根以见四意止。若惟行定根以见四禅。若惟行慧根以见四谛。皆如上说。何况多行者。是故可念行五根。</w:t>
      </w:r>
    </w:p>
    <w:p>
      <w:r>
        <w:t xml:space="preserve">　　佛言。诸比丘。若弹指间惟行信力。从得四喜之事令无能坏。是为精进行禅。为如佛教。非是愚痴食人施。何况多行者。若弹指间惟行精进力。若念力。若定力。若慧力。皆如上说。何况多行者。是故可念行五力。</w:t>
      </w:r>
    </w:p>
    <w:p>
      <w:r>
        <w:t xml:space="preserve">　　佛言。诸比丘。若弹指间惟行念觉意。以念所当念。以爱念。以正念。为善法念。得志不忘。是为精进行禅。为如佛教。不是愚痴食人施。何况多行者。摄取其要。若弹指间惟行法解觉意。其意经经分别解随顺解。若惟行精进觉意。其身精进。意亦精进。若惟行爱觉意。知所当爱令意得喜。若惟行止觉意。令身休止。意亦休止。若惟行定觉意。令意住念亦住。志不乱不邪念。若惟行护觉意。为护行知所念知安身。令见道护。恶念安隐行事事。皆如上说。何况多行者。是故可念行七觉意。</w:t>
      </w:r>
    </w:p>
    <w:p>
      <w:r>
        <w:t xml:space="preserve">　　佛言。诸比丘。若弹指间惟行正见。以知古知始知终。知内知外。知苦知习。知尽知道。知佛知法。知比丘众。知学行事。如六合所习所取欢喜变失及其归趣。知不贪之德。是为正见。为精进行禅。为如佛教。不是愚痴食人施。何况多行者。撮取其要。若弹指间惟行正思。为思出家。思不诤。思不杀。若惟行正语不妄语不两舌不恶口不形笑。若惟行正命。不以贪生活。不恚生活。不以痴生活。若惟行正业。不杀不盗窃不邪淫。若惟行正治以修治四意断之事。若惟行正念以受行四意止。亦惟行正定。以思念四禅事事。皆同如上说。其弹指间功德如是。何况多行者。是故可念行八正道。</w:t>
      </w:r>
    </w:p>
    <w:p>
      <w:r>
        <w:t xml:space="preserve">　　佛说是已。皆欢喜受。</w:t>
      </w:r>
    </w:p>
    <w:p>
      <w:r>
        <w:t>佛说禅行三十七品经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