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摩诃般若波罗蜜大明咒经</w:t>
      </w:r>
    </w:p>
    <w:p>
      <w:r>
        <w:t xml:space="preserve">　　　　姚秦天竺三藏鸠摩罗什译</w:t>
      </w:r>
    </w:p>
    <w:p>
      <w:r>
        <w:t xml:space="preserve">　　观世音菩萨行深般若波罗蜜时，照见五阴空，度一切苦厄。</w:t>
      </w:r>
    </w:p>
    <w:p>
      <w:r>
        <w:t xml:space="preserve">　　“舍利弗！色空故无恼坏相，受空故无受相，想空故无知相，行空故无作相，识空故无觉相。何以故？舍利弗！非色异空，非空异色。色即是空，空即是色。受、想、行、识亦如是。</w:t>
      </w:r>
    </w:p>
    <w:p>
      <w:r>
        <w:t xml:space="preserve">　　“舍利弗！是诸法空相，不生不灭，不垢不净，不增不减。是空法，非过去、非未来、非现在。是故空中无色，无受、想、行、识，无眼、耳、鼻、舌、身、意，无色、声、香、味、触、法，无眼界乃至无意识界，无无明亦无无明尽，乃至无老死无老死尽，无苦、集、灭、道，无智亦无得。</w:t>
      </w:r>
    </w:p>
    <w:p>
      <w:r>
        <w:t xml:space="preserve">　　“以无所得故，菩萨依般若波罗蜜故，心无挂碍。无挂碍故，无有恐怖，离一切颠倒梦想苦恼，究竟涅槃。三世诸佛依般若波罗蜜故，得阿耨多罗三藐三菩提。</w:t>
      </w:r>
    </w:p>
    <w:p>
      <w:r>
        <w:t xml:space="preserve">　　“故知般若波罗蜜是大明咒，无上明咒，无等等明咒，能除一切苦，真实不虚。故说般若波罗蜜咒。”</w:t>
      </w:r>
    </w:p>
    <w:p>
      <w:r>
        <w:t xml:space="preserve">　　即说咒曰：</w:t>
      </w:r>
    </w:p>
    <w:p>
      <w:r>
        <w:t xml:space="preserve">　　“竭帝　竭帝　波罗竭帝　波罗僧竭帝　菩提　僧莎呵”</w:t>
      </w:r>
    </w:p>
    <w:p/>
    <w:p>
      <w:r>
        <w:t xml:space="preserve">　　　　摩诃般若波罗蜜大明咒经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