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佛说不自守意经</w:t>
      </w:r>
    </w:p>
    <w:p>
      <w:r>
        <w:t xml:space="preserve">　　吴 支谦译</w:t>
      </w:r>
    </w:p>
    <w:p/>
    <w:p/>
    <w:p/>
    <w:p/>
    <w:p>
      <w:r>
        <w:t xml:space="preserve">　　　　佛说不自守意经</w:t>
      </w:r>
    </w:p>
    <w:p/>
    <w:p>
      <w:r>
        <w:t xml:space="preserve">　　　　吴月支优婆塞支谦译</w:t>
      </w:r>
    </w:p>
    <w:p>
      <w:r>
        <w:t xml:space="preserve">　　闻如是。一时佛在舍卫国祇树给孤独园。佛告诸比丘。比丘。应唯然。佛言。听说自守亦不自守。比丘便叉手从佛听。佛告比丘。几因缘不自守。若眼根不闭守。若眼堕色识意便泆。已意泆便更苦。已更苦便不得定意。已不得定意便不知至诚。如有已不知便不见如有。已不知已不见如有。便不舍结亦不度疑。已不舍结不度疑。便属他因缘。异知已异知。便苦不安隐。如是说。耳亦尔鼻亦尔口亦尔身亦尔意亦尔。如是行名为不自守。</w:t>
      </w:r>
    </w:p>
    <w:p>
      <w:r>
        <w:t xml:space="preserve">　　佛复告比丘。几因缘自守。若眼根自守。止眼识不堕色意便不泆。已意不泆便更乐。已更乐便得定意。已得定意便谛如有知谛如有见。已谛如知谛如见。便舍结亦度疑。便不信不至诚。便慧智。便意乐安隐。六根亦如是说。如是名为自守。所说自守不自守如是。佛说如是。皆欢喜受。</w:t>
      </w:r>
    </w:p>
    <w:p/>
    <w:p>
      <w:r>
        <w:t xml:space="preserve">　　佛说不自守意经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