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邪见经</w:t>
      </w:r>
    </w:p>
    <w:p>
      <w:r>
        <w:t xml:space="preserve">　　失译</w:t>
      </w:r>
    </w:p>
    <w:p/>
    <w:p/>
    <w:p/>
    <w:p/>
    <w:p>
      <w:r>
        <w:t xml:space="preserve">　　佛说邪见经</w:t>
      </w:r>
    </w:p>
    <w:p/>
    <w:p>
      <w:r>
        <w:t xml:space="preserve">　　　　失译人名今附东晋录</w:t>
      </w:r>
    </w:p>
    <w:p>
      <w:r>
        <w:t xml:space="preserve">　　闻如是。一时尊者阿难。在罗阅只城迦兰陀竹园。世尊般涅槃不久。于是有异邪命。是尊者阿难[髟/囪/心]角友。中食后行彷徉。而行至尊者阿难所。到已共尊者阿难面相慰劳。面相慰劳已却坐一面。彼邪命却坐一面已。语尊者阿难曰。我欲有所问。听我所问。当问贤者。邪命闻已知之。此阿难。彼沙门瞿昙弃邪见除邪见。不记说世间有常世间无常。世间有边世间无边。命是身是命异身异。有如此命终。无有命终。有此无有此。无有命终。此阿难。彼沙门瞿昙。知邪见应如此知耶。此婆罗门。彼世尊有智有知见。如来无所著等正觉。弃邪见除邪见。不记说世间有常至无有命终。此婆罗门彼世尊有智有见知。此邪见。如来无所著等正觉应如此知。此阿难。彼沙门瞿昙。弃邪见除邪见。不记说世间有常至无有命终。云何阿难。彼沙门瞿昙。知此邪见。此云何知。此婆罗门。彼世尊有智有见。如来无所著等正觉。弃邪见除邪见。不记说世间有常至无有命终。此婆罗门此邪见者。相应等相应。如是趣如是生及后世。此婆罗门。彼世尊如是知有知有见。如来无所著等正觉。知邪见当如是知。是故阿难。我今归汝。汝婆罗门莫归于我。如我所归世尊。汝亦当归之。是故阿难。我今便归彼世尊法及比丘僧。我于彼世尊优婆塞。从今日始离于杀今日归尊者。阿难如是说。彼邪命闻尊者阿难所说。欢喜而乐。</w:t>
      </w:r>
    </w:p>
    <w:p/>
    <w:p>
      <w:r>
        <w:t xml:space="preserve">　　佛说邪见经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