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佛说大鱼事经</w:t>
      </w:r>
    </w:p>
    <w:p>
      <w:r>
        <w:t xml:space="preserve">　　　　东晋天竺三藏竺昙无兰译</w:t>
      </w:r>
    </w:p>
    <w:p>
      <w:r>
        <w:t xml:space="preserve">　　闻如是。一时婆伽婆在舍卫城祇树给孤独园。尔时世尊告诸比丘。往昔时有一水饶诸大鱼。尔时大鱼敕小鱼曰。汝等莫离此间,往他处所。备为恶人所得。尔时小鱼。不从大鱼教。便往至他处所。尔时鱼师。以饭网罗线捕诸鱼。诸小鱼见便趣大鱼处所。尔时大鱼见小鱼来。便问小鱼曰。汝等莫离此间往至他所。尔时小鱼。便答大鱼曰。我等向者以至他所来。大鱼便敕小鱼曰。汝等至他所。不为罗网取捕耶。小鱼答大鱼曰。我等至彼。不为人所捕。然遥见长线寻我后。大鱼便语小鱼曰。汝等以为所害。所以然者。汝所遥见线寻后来者。昔先祖父母。尽为此线所害。汝今必为所害。汝非我儿。尔时小鱼。尽为鱼师所捕。举著岸上。如是小鱼。大鱼有死者。此亦如是。</w:t>
      </w:r>
    </w:p>
    <w:p>
      <w:r>
        <w:t xml:space="preserve">　　或有一比丘。在他聚落游行。著衣持钵。周行乞食。福度众生。不守护身。不守护口意。不具足诸根。意不专一。即于彼村落乞食。时见诸女人端正无双。色犹桃华。见已便起淫心。以此淫心。身口意炽然。彼以身口意炽然。即于村落乞食。还所止处。故发欲想。便往尊比丘所。以此因缘。具向诸比丘说。诸尊大比丘。告此比丘言。汝起淫想。此不为净。汝比丘。当恶露观。尊大比丘。语复至再三。尔时彼比丘。身口意炽盛。复至彼村落乞食。遥见女人端正无比。色犹桃华。见已便起淫心。以此淫心。身口意炽然。彼以身口意炽然故。即于彼村落乞食已。还所止处。往尊大比丘所。以此因缘。具向诸比丘说。彼尊比丘。告此比丘言。汝往非我众中比丘。尔时此比丘不舍禁戒。便著俗服。乐爱欲中。是谓比丘魔得其便。随波旬所欲。亦不脱生老病死愁忧苦恼。如是诸比丘利养具。甚为难。甚为苦。甚为恐畏。堕入恶趣。不生无上处。是故诸比丘。当作是学。已得利养当舍离之。未得利养不起贪意。如是诸比丘当作是学。</w:t>
      </w:r>
    </w:p>
    <w:p>
      <w:r>
        <w:t xml:space="preserve">　　尔时诸比丘闻佛所说。欢喜奉行。</w:t>
      </w:r>
    </w:p>
    <w:p/>
    <w:p>
      <w:r>
        <w:t xml:space="preserve">　　大鱼事经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