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乐想经</w:t>
      </w:r>
    </w:p>
    <w:p>
      <w:r>
        <w:t xml:space="preserve">　　西晋 竺法护译</w:t>
      </w:r>
    </w:p>
    <w:p/>
    <w:p/>
    <w:p/>
    <w:p/>
    <w:p>
      <w:r>
        <w:t xml:space="preserve">　　佛说乐想经</w:t>
      </w:r>
    </w:p>
    <w:p/>
    <w:p>
      <w:r>
        <w:t xml:space="preserve">　　　　西晋月支国三藏竺法护译</w:t>
      </w:r>
    </w:p>
    <w:p>
      <w:r>
        <w:t xml:space="preserve">　　闻如是。一时婆伽婆。在舍卫城祇树给孤独园。彼时世尊告诸比丘。诸有沙门婆罗门。于地有地想。乐于地计于地为我。彼言地是我。我说彼未知水火风。天神梵天阿婆天阿鞞婆天。净有净想。乐于净计净为我。彼言净是我。我说未知虚空处识处无所有处无想处。或一或若干。或别见闻知识得观觉行。今世至后世。后世至今世。彼有此想乐。乐是计是我。彼尽计是我。我说彼未知。诸有沙门婆罗门计地为神通不乐于地。不乐于地不计地为我。彼不言地是我。我说彼已知水火风。天神梵天阿婆天阿鞞婆天。以净为神通。不乐净不乐净。不以净是我。我说彼已知虚空处识处无所有处无想处。或一或若干。或别闻闻见识知得观觉行。从今世至后世。从后世至今世。彼尽以神通示不乐亦不乐。亦不计我。亦不言是我。我说彼以知。复次我以地为神通。不乐地不乐地。不以地为我。我不计地。我以知水火风。神天梵天阿婆天阿鞞婆天。彼神通不以为净。不以为净不计净为我。我以知此虚空处识处无所有处无想。或一或若干。或别见闻识知得观觉行。从今世至后世。从后世至今世。尽已神通不乐不乐不计为我。我已知此。佛如是说。彼诸比丘闻世尊所说。欢喜而乐所因跋渠尽。</w:t>
      </w:r>
    </w:p>
    <w:p/>
    <w:p>
      <w:r>
        <w:t xml:space="preserve">　　佛说乐想经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