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治意经</w:t>
      </w:r>
    </w:p>
    <w:p>
      <w:r>
        <w:t xml:space="preserve">　　失译</w:t>
      </w:r>
    </w:p>
    <w:p/>
    <w:p/>
    <w:p/>
    <w:p/>
    <w:p>
      <w:r>
        <w:t xml:space="preserve">　　佛说治意经</w:t>
      </w:r>
    </w:p>
    <w:p/>
    <w:p>
      <w:r>
        <w:t xml:space="preserve">　　　　失译人名今附西晋录</w:t>
      </w:r>
    </w:p>
    <w:p>
      <w:r>
        <w:t xml:space="preserve">　　佛言。安般守意具行如法已。欲次第学。如如佛说为在天下得明如阴解。月出立身立意立坐卧亦尔。已比丘立意。如是前后会有所益。已前后有所益。使不复见怪意。已止意亦守六衰。常守莫中止。便知无为身。若一切有意常守身止不愿。亦不愿有。亦不疑有。亦不疑无有。次第行在所疑。使蚤得度生死。若惊意知定喜净。时时法观能得度老病。如是可病惊精进。道人自意生老结能得断。今世能得苦尽。已警为听所睡为觉警胜卧已警无有畏。已精进晓睡日夜为学。已求甘露便得灭苦。人有是有利从归佛。为中夜常意在佛。已觉得觉。佛弟子常尔。若中夜常念法僧聚亦尔。行戒亦尔。布施亦尔。身护亦尔。行禅亦尔。不侵人亦尔。定意亦尔。尔空亦尔。已觉能觉佛弟子常尔。若中不堕思想。问曰。何等为便知无为身。师曰。泥为无为身。何等为次第行。谓今所到。便当除次除。是为次第行。何等为时时法观。谓六入来时当即时校计。是为时时法观。何等为道人自意。谓教人精进。当先自意行。身自守意自守。自为福中。天上福未满故。自守福已满便得禅。</w:t>
      </w:r>
    </w:p>
    <w:p/>
    <w:p>
      <w:r>
        <w:t xml:space="preserve">　　佛说治意经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