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佛说马有三相经</w:t>
      </w:r>
    </w:p>
    <w:p>
      <w:r>
        <w:t xml:space="preserve">　　后汉 支曜译</w:t>
      </w:r>
    </w:p>
    <w:p/>
    <w:p/>
    <w:p/>
    <w:p/>
    <w:p>
      <w:r>
        <w:t xml:space="preserve">　　　　佛说马有三相经(出杂阿含别译)</w:t>
      </w:r>
    </w:p>
    <w:p/>
    <w:p>
      <w:r>
        <w:t xml:space="preserve">　　　　后汉沙门支曜译</w:t>
      </w:r>
    </w:p>
    <w:p>
      <w:r>
        <w:t xml:space="preserve">　　闻如是。一时佛在舍卫国祇树给孤独园。佛便告诸比丘。善马有三相用入官可给御。中王意得名为官马。何等为三相。一者有善马意自能走。二者有力。三者端正好色。是为三相。善马中入官。善人亦有三相。自得善意名闻亦豪。举人敬难之。可受人礼能福天下。何等为三相。有善人得意能走有力有端正色。何等为善人得意能走。有善人得意是苦如有知。为是习。为是尽败。为是道识。如是善人得意为走。何等为善人得意为力。为有弊恶态当为断尽力求之。精进求者意弃恶。未起弊恶态不复起。未起善意当为起。已起善意当为止不忘减稍稍增多。行意俱善行尽力求。制意弃恶。如是善人得力。何等为善人得意有色端正。是间有善人得意避五乐避弊恶。能到四弃得行。如是善人得意有色。是为三因缘谛行。善人得意名闻为能主举人难之。可取礼天下如是。佛说如是。</w:t>
      </w:r>
    </w:p>
    <w:p/>
    <w:p>
      <w:r>
        <w:t xml:space="preserve">　　佛说马有三相经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