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大乘百法明门论</w:t>
      </w:r>
    </w:p>
    <w:p>
      <w:r>
        <w:t xml:space="preserve">　　天亲菩萨造  唐 玄奘译</w:t>
      </w:r>
    </w:p>
    <w:p/>
    <w:p/>
    <w:p/>
    <w:p/>
    <w:p>
      <w:r>
        <w:t xml:space="preserve">　　大乘百法明门论本事分中略录名数</w:t>
      </w:r>
    </w:p>
    <w:p/>
    <w:p>
      <w:r>
        <w:t xml:space="preserve">　　　　天亲菩萨造</w:t>
      </w:r>
    </w:p>
    <w:p>
      <w:r>
        <w:t xml:space="preserve">　　　　大唐三藏法师玄奘译</w:t>
      </w:r>
    </w:p>
    <w:p>
      <w:r>
        <w:t xml:space="preserve">　　如世尊言。一切法无我。何等一切法。云何为无我。一切法者。略有五种。一者心法。二者心所有法。三者色法。四者心不相应行法。五者无为法。一切最胜故。与此相应故。二所现影故。三分位差别故。四所显示故。如是次第。第一心法略有八种。一眼识。二耳识。三鼻识。四舌识。五身识。六意识。七末那识。八阿赖耶识。</w:t>
      </w:r>
    </w:p>
    <w:p>
      <w:r>
        <w:t xml:space="preserve">　　第二心所有法。略有五十一种。分为六位。一遍行有五。二别境有五。三善有十一。四烦恼有六。五随烦恼有二十。六不定有四。一遍行五者。一作意二触三受四想五思。二别境五者。一欲二胜解三念四定五慧。三善十一者。一信二精进。三惭四愧。五无贪六无嗔七无痴。八轻安九不放逸十行舍十一不害。四烦恼六者。一贪二嗔。三慢四无明。五疑六不正见。五随烦恼二十者。一忿二恨。三恼四覆。五诳六谄。七憍八害。九嫉十悭。十一无惭十二无愧。十三不信十四懈怠。十五放逸十六惛沈。十七掉举十八失念。十九不正知二十散乱。六不定四者。一睡眠二恶作。三寻四伺。</w:t>
      </w:r>
    </w:p>
    <w:p>
      <w:r>
        <w:t xml:space="preserve">　　第三色法。略有十一种。一眼二耳三鼻四舌五身。六色七声八香九味十触。十一法处所摄色。</w:t>
      </w:r>
    </w:p>
    <w:p>
      <w:r>
        <w:t xml:space="preserve">　　第四心不相应行法。略有二十四种。一得二命根。三众同分。四异生性。五无想定。六灭尽定。七无想报。八名身九句身十文身。十一生十二老。十三住十四无常。十五流转。十六定异。十七相应。十八势速。十九次第。二十方。二十一时。二十二数。二十三和合性。二十四不和合性。</w:t>
      </w:r>
    </w:p>
    <w:p>
      <w:r>
        <w:t xml:space="preserve">　　第五无为法者。略有六种。一虚空无为。二择灭无为。三非择灭无为。四不动灭无为。五想受灭无为。六真如无为。</w:t>
      </w:r>
    </w:p>
    <w:p>
      <w:r>
        <w:t xml:space="preserve">　　言无我者。略有二种。一补特伽罗无我。二法无我。</w:t>
      </w:r>
    </w:p>
    <w:p/>
    <w:p>
      <w:r>
        <w:t xml:space="preserve">　　大乘百法明门论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