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Template para especificação de CRUD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55555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555555"/>
          <w:sz w:val="19"/>
          <w:szCs w:val="19"/>
          <w:u w:val="none"/>
          <w:shd w:fill="auto" w:val="clear"/>
          <w:vertAlign w:val="baseline"/>
          <w:rtl w:val="0"/>
        </w:rPr>
        <w:t xml:space="preserve">Objetivo: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55555"/>
          <w:sz w:val="19"/>
          <w:szCs w:val="19"/>
          <w:u w:val="none"/>
          <w:shd w:fill="auto" w:val="clear"/>
          <w:vertAlign w:val="baseline"/>
          <w:rtl w:val="0"/>
        </w:rPr>
        <w:t xml:space="preserve"> padronizar a pesquisa e o levantamento inicial dos requisitos de cada cadastro do sistema, criando uma visão comum entre as áreas envolvidas antes da definição técnica e do desenvolvimento.</w:t>
      </w:r>
    </w:p>
    <w:tbl>
      <w:tblPr>
        <w:tblStyle w:val="Table1"/>
        <w:tblW w:w="8488.0" w:type="dxa"/>
        <w:jc w:val="left"/>
        <w:tblLayout w:type="fixed"/>
        <w:tblLook w:val="0400"/>
      </w:tblPr>
      <w:tblGrid>
        <w:gridCol w:w="2546"/>
        <w:gridCol w:w="5942"/>
        <w:tblGridChange w:id="0">
          <w:tblGrid>
            <w:gridCol w:w="2546"/>
            <w:gridCol w:w="594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shd w:fill="e9eef4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03">
            <w:pPr>
              <w:spacing w:after="210" w:before="120" w:lineRule="auto"/>
              <w:rPr>
                <w:rFonts w:ascii="Calibri" w:cs="Calibri" w:eastAsia="Calibri" w:hAnsi="Calibri"/>
                <w:b w:val="1"/>
                <w:bCs w:val="1"/>
                <w:color w:val="1f4e78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8"/>
                <w:sz w:val="18"/>
                <w:szCs w:val="18"/>
                <w:rtl w:val="0"/>
              </w:rPr>
              <w:t xml:space="preserve">CRUD / Cadastro analisado</w:t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19"/>
                <w:szCs w:val="19"/>
                <w:rtl w:val="0"/>
              </w:rPr>
              <w:t xml:space="preserve">Contas a Pagar e a Receber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shd w:fill="e9eef4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spacing w:after="210" w:before="120" w:lineRule="auto"/>
              <w:rPr>
                <w:rFonts w:ascii="Calibri" w:cs="Calibri" w:eastAsia="Calibri" w:hAnsi="Calibri"/>
                <w:b w:val="1"/>
                <w:bCs w:val="1"/>
                <w:color w:val="1f4e78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8"/>
                <w:sz w:val="18"/>
                <w:szCs w:val="18"/>
                <w:rtl w:val="0"/>
              </w:rPr>
              <w:t xml:space="preserve">Responsável pelo levantamento</w:t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Leonardo Malta Machado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shd w:fill="e9eef4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spacing w:after="210" w:before="120" w:lineRule="auto"/>
              <w:rPr>
                <w:rFonts w:ascii="Calibri" w:cs="Calibri" w:eastAsia="Calibri" w:hAnsi="Calibri"/>
                <w:b w:val="1"/>
                <w:bCs w:val="1"/>
                <w:color w:val="1f4e78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8"/>
                <w:sz w:val="18"/>
                <w:szCs w:val="18"/>
                <w:rtl w:val="0"/>
              </w:rPr>
              <w:t xml:space="preserve">Área / especialidade</w:t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TI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shd w:fill="e9eef4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spacing w:after="210" w:before="120" w:lineRule="auto"/>
              <w:rPr>
                <w:rFonts w:ascii="Calibri" w:cs="Calibri" w:eastAsia="Calibri" w:hAnsi="Calibri"/>
                <w:b w:val="1"/>
                <w:bCs w:val="1"/>
                <w:color w:val="1f4e78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8"/>
                <w:sz w:val="18"/>
                <w:szCs w:val="18"/>
                <w:rtl w:val="0"/>
              </w:rPr>
              <w:t xml:space="preserve">Data</w:t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19 / 09 /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shd w:fill="e9eef4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spacing w:after="210" w:before="120" w:lineRule="auto"/>
              <w:rPr>
                <w:rFonts w:ascii="Calibri" w:cs="Calibri" w:eastAsia="Calibri" w:hAnsi="Calibri"/>
                <w:b w:val="1"/>
                <w:bCs w:val="1"/>
                <w:color w:val="1f4e78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8"/>
                <w:sz w:val="18"/>
                <w:szCs w:val="18"/>
                <w:rtl w:val="0"/>
              </w:rPr>
              <w:t xml:space="preserve">Versão do documento</w:t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1.0</w:t>
            </w:r>
          </w:p>
        </w:tc>
      </w:tr>
    </w:tbl>
    <w:p w:rsidR="00000000" w:rsidDel="00000000" w:rsidP="00000000" w:rsidRDefault="00000000" w:rsidRPr="00000000" w14:paraId="0000000D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Cadastros distribuídos no projeto</w:t>
      </w:r>
    </w:p>
    <w:tbl>
      <w:tblPr>
        <w:tblStyle w:val="Table2"/>
        <w:tblW w:w="8488.0" w:type="dxa"/>
        <w:jc w:val="left"/>
        <w:tblLayout w:type="fixed"/>
        <w:tblLook w:val="0400"/>
      </w:tblPr>
      <w:tblGrid>
        <w:gridCol w:w="3820"/>
        <w:gridCol w:w="4668"/>
        <w:tblGridChange w:id="0">
          <w:tblGrid>
            <w:gridCol w:w="3820"/>
            <w:gridCol w:w="466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shd w:fill="2f5597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spacing w:after="210" w:before="120" w:lineRule="auto"/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Cadastro</w:t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shd w:fill="2f5597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spacing w:after="210" w:before="120" w:lineRule="auto"/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Responsável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Clientes</w:t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__________________________________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Fornecedores</w:t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__________________________________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Produtos</w:t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__________________________________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Categorias de produtos</w:t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__________________________________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Usuários</w:t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__________________________________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Permissões</w:t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__________________________________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Contas financeiras</w:t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__________________________________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Categorias financeiras</w:t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__________________________________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Centros de custos</w:t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__________________________________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shd w:fill="eaf1f8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19"/>
                <w:szCs w:val="19"/>
                <w:rtl w:val="0"/>
              </w:rPr>
              <w:t xml:space="preserve">Contas a pagar e a receber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shd w:fill="eaf1f8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19"/>
                <w:szCs w:val="19"/>
                <w:rtl w:val="0"/>
              </w:rPr>
              <w:t xml:space="preserve">Leonardo Malta Machado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Orientações para o levantamento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Pesquise como este cadastro funciona no contexto real do negócio, considerando previsões financeiras, obrigações a liquidar e direitos creditórios a receber.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Identifique dados obrigatórios, regras, validações, relacionamentos e situações excepcionais.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Não defina tecnologia, banco de dados ou layout da tela nesta etapa. O foco é compreender a necessidade de negócio.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Registre dúvidas e pontos que precisam ser validados pela equipe. Não assuma uma regra quando houver incerteza.</w:t>
      </w:r>
    </w:p>
    <w:p w:rsidR="00000000" w:rsidDel="00000000" w:rsidP="00000000" w:rsidRDefault="00000000" w:rsidRPr="00000000" w14:paraId="00000029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Identificação e propósito do cadastro</w:t>
      </w:r>
    </w:p>
    <w:tbl>
      <w:tblPr>
        <w:tblStyle w:val="Table3"/>
        <w:tblW w:w="8488.0" w:type="dxa"/>
        <w:jc w:val="left"/>
        <w:tblLayout w:type="fixed"/>
        <w:tblLook w:val="0400"/>
      </w:tblPr>
      <w:tblGrid>
        <w:gridCol w:w="4244"/>
        <w:gridCol w:w="4244"/>
        <w:tblGridChange w:id="0">
          <w:tblGrid>
            <w:gridCol w:w="4244"/>
            <w:gridCol w:w="42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shd w:fill="e9eef4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spacing w:after="210" w:before="120" w:lineRule="auto"/>
              <w:rPr>
                <w:rFonts w:ascii="Calibri" w:cs="Calibri" w:eastAsia="Calibri" w:hAnsi="Calibri"/>
                <w:b w:val="1"/>
                <w:bCs w:val="1"/>
                <w:color w:val="1f4e78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8"/>
                <w:sz w:val="18"/>
                <w:szCs w:val="18"/>
                <w:rtl w:val="0"/>
              </w:rPr>
              <w:t xml:space="preserve">Item</w:t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shd w:fill="e9eef4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spacing w:after="210" w:before="120" w:lineRule="auto"/>
              <w:rPr>
                <w:rFonts w:ascii="Calibri" w:cs="Calibri" w:eastAsia="Calibri" w:hAnsi="Calibri"/>
                <w:b w:val="1"/>
                <w:bCs w:val="1"/>
                <w:color w:val="1f4e78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8"/>
                <w:sz w:val="18"/>
                <w:szCs w:val="18"/>
                <w:rtl w:val="0"/>
              </w:rPr>
              <w:t xml:space="preserve">Definição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19"/>
                <w:szCs w:val="19"/>
                <w:rtl w:val="0"/>
              </w:rPr>
              <w:t xml:space="preserve">Nome do cadastro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Contas a Pagar e a Receber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19"/>
                <w:szCs w:val="19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Registrar, monitorar e controlar as obrigações financeiras (despesas/compromissos a pagar) e os direitos creditórios (receitas/vendas a receber) da empresa, viabilizando o controle de prazos, juros, multas e previsão de caixa.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19"/>
                <w:szCs w:val="19"/>
                <w:rtl w:val="0"/>
              </w:rPr>
              <w:t xml:space="preserve">Quem utiliza?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Usuários do setor Financeiro, Compras, Faturamento/Vendas e Administradores.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19"/>
                <w:szCs w:val="19"/>
                <w:rtl w:val="0"/>
              </w:rPr>
              <w:t xml:space="preserve">Quando é utilizado?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Na emissão ou entrada de notas fiscais/títulos, contratação de despesas parceladas/recorrentes, vendas a prazo, agendamento de cobranças e conciliação com o fluxo financeiro.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19"/>
                <w:szCs w:val="19"/>
                <w:rtl w:val="0"/>
              </w:rPr>
              <w:t xml:space="preserve">Problema que resolve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Evita atrasos e pagamentos indevidos de juros/multas, reduz a inadimplência de clientes, elimina o descontrole de vencimentos e fornece dados precisos sobre compromissos futuros para o fluxo de caixa.</w:t>
            </w:r>
          </w:p>
        </w:tc>
      </w:tr>
    </w:tbl>
    <w:p w:rsidR="00000000" w:rsidDel="00000000" w:rsidP="00000000" w:rsidRDefault="00000000" w:rsidRPr="00000000" w14:paraId="00000036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Informações necessárias</w:t>
      </w:r>
    </w:p>
    <w:tbl>
      <w:tblPr>
        <w:tblStyle w:val="Table4"/>
        <w:tblW w:w="8488.0" w:type="dxa"/>
        <w:jc w:val="left"/>
        <w:tblLayout w:type="fixed"/>
        <w:tblLook w:val="0400"/>
      </w:tblPr>
      <w:tblGrid>
        <w:gridCol w:w="1567"/>
        <w:gridCol w:w="1938"/>
        <w:gridCol w:w="1000"/>
        <w:gridCol w:w="784"/>
        <w:gridCol w:w="1260"/>
        <w:gridCol w:w="1939"/>
        <w:tblGridChange w:id="0">
          <w:tblGrid>
            <w:gridCol w:w="1567"/>
            <w:gridCol w:w="1938"/>
            <w:gridCol w:w="1000"/>
            <w:gridCol w:w="784"/>
            <w:gridCol w:w="1260"/>
            <w:gridCol w:w="193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shd w:fill="2f5597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spacing w:after="210" w:before="120" w:lineRule="auto"/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shd w:fill="2f5597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spacing w:after="210" w:before="120" w:lineRule="auto"/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shd w:fill="2f5597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spacing w:after="210" w:before="120" w:lineRule="auto"/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</w:t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shd w:fill="2f5597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spacing w:after="210" w:before="120" w:lineRule="auto"/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Obrig.?</w:t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shd w:fill="2f5597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spacing w:after="210" w:before="120" w:lineRule="auto"/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Exemplo</w:t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shd w:fill="2f5597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spacing w:after="210" w:before="120" w:lineRule="auto"/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Observações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19"/>
                <w:szCs w:val="19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Identificador único do título/conta</w:t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Numérico</w:t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spacing w:after="210" w:before="12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1b5e20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20"/>
                <w:sz w:val="19"/>
                <w:szCs w:val="19"/>
                <w:rtl w:val="0"/>
              </w:rPr>
              <w:t xml:space="preserve">Sim</w:t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10042</w:t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Sequencial gerado automaticamente pelo 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19"/>
                <w:szCs w:val="19"/>
                <w:rtl w:val="0"/>
              </w:rPr>
              <w:t xml:space="preserve">Tipo de Lançamento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Classificação entre Obrigação ou Direito</w:t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String / Enum</w:t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spacing w:after="210" w:before="12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1b5e20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20"/>
                <w:sz w:val="19"/>
                <w:szCs w:val="19"/>
                <w:rtl w:val="0"/>
              </w:rPr>
              <w:t xml:space="preserve">Sim</w:t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A Pagar / A Receber</w:t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Define a natureza da operação financeira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19"/>
                <w:szCs w:val="19"/>
                <w:rtl w:val="0"/>
              </w:rPr>
              <w:t xml:space="preserve">Pessoa/Entidade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Fornecedor (se a pagar) ou Cliente (se a receber)</w:t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Chave / ID</w:t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spacing w:after="210" w:before="12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1b5e20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20"/>
                <w:sz w:val="19"/>
                <w:szCs w:val="19"/>
                <w:rtl w:val="0"/>
              </w:rPr>
              <w:t xml:space="preserve">Sim</w:t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Fornecedor #001 (Tech RS)</w:t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Vínculo obrigatório com Cliente ou Fornecedor ativo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19"/>
                <w:szCs w:val="19"/>
                <w:rtl w:val="0"/>
              </w:rPr>
              <w:t xml:space="preserve">Número do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Número de NF, duplicata, boleto ou contrato</w:t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String</w:t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spacing w:after="210" w:before="120" w:lineRule="auto"/>
              <w:jc w:val="center"/>
              <w:rPr>
                <w:rFonts w:ascii="Calibri" w:cs="Calibri" w:eastAsia="Calibri" w:hAnsi="Calibri"/>
                <w:color w:val="616161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616161"/>
                <w:sz w:val="19"/>
                <w:szCs w:val="19"/>
                <w:rtl w:val="0"/>
              </w:rPr>
              <w:t xml:space="preserve">Não</w:t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NF 4589-1</w:t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Auxilia na conciliação e conferência física/fiscal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19"/>
                <w:szCs w:val="19"/>
                <w:rtl w:val="0"/>
              </w:rPr>
              <w:t xml:space="preserve">Data de Emissão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Data em que a obrigação ou direito foi gerado</w:t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Data</w:t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spacing w:after="210" w:before="12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1b5e20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20"/>
                <w:sz w:val="19"/>
                <w:szCs w:val="19"/>
                <w:rtl w:val="0"/>
              </w:rPr>
              <w:t xml:space="preserve">Sim</w:t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19/09/2026</w:t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Não pode ser superior à data atual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19"/>
                <w:szCs w:val="19"/>
                <w:rtl w:val="0"/>
              </w:rPr>
              <w:t xml:space="preserve">Data de Vencimento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Prazo limite estipulado para liquidação</w:t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Data</w:t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spacing w:after="210" w:before="12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1b5e20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20"/>
                <w:sz w:val="19"/>
                <w:szCs w:val="19"/>
                <w:rtl w:val="0"/>
              </w:rPr>
              <w:t xml:space="preserve">Sim</w:t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10/10/2026</w:t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Base para cômputo de status e encargos moratórios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19"/>
                <w:szCs w:val="19"/>
                <w:rtl w:val="0"/>
              </w:rPr>
              <w:t xml:space="preserve">Valor Nominal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Valor original do título</w:t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Decimal</w:t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spacing w:after="210" w:before="12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1b5e20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20"/>
                <w:sz w:val="19"/>
                <w:szCs w:val="19"/>
                <w:rtl w:val="0"/>
              </w:rPr>
              <w:t xml:space="preserve">Sim</w:t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R$ 1.500,00</w:t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Deve ser estritamente maior que zero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19"/>
                <w:szCs w:val="19"/>
                <w:rtl w:val="0"/>
              </w:rPr>
              <w:t xml:space="preserve">Categoria Financeira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Classificação contábil da despesa ou receita</w:t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Chave / ID</w:t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spacing w:after="210" w:before="12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1b5e20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20"/>
                <w:sz w:val="19"/>
                <w:szCs w:val="19"/>
                <w:rtl w:val="0"/>
              </w:rPr>
              <w:t xml:space="preserve">Sim</w:t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101 - Energia Elétrica</w:t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Vínculo com o cadastro de Categorias Financeiras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19"/>
                <w:szCs w:val="19"/>
                <w:rtl w:val="0"/>
              </w:rPr>
              <w:t xml:space="preserve">Centro de Custo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Setor ou unidade geradora da despesa/receita</w:t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Chave / ID</w:t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spacing w:after="210" w:before="120" w:lineRule="auto"/>
              <w:jc w:val="center"/>
              <w:rPr>
                <w:rFonts w:ascii="Calibri" w:cs="Calibri" w:eastAsia="Calibri" w:hAnsi="Calibri"/>
                <w:color w:val="616161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616161"/>
                <w:sz w:val="19"/>
                <w:szCs w:val="19"/>
                <w:rtl w:val="0"/>
              </w:rPr>
              <w:t xml:space="preserve">Não</w:t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01 - Matriz / TI</w:t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Vínculo com Centros de Custo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19"/>
                <w:szCs w:val="19"/>
                <w:rtl w:val="0"/>
              </w:rPr>
              <w:t xml:space="preserve">Forma de Pagamento Prevista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Meio previsto para liquidação</w:t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Chave / ID</w:t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spacing w:after="210" w:before="12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1b5e20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20"/>
                <w:sz w:val="19"/>
                <w:szCs w:val="19"/>
                <w:rtl w:val="0"/>
              </w:rPr>
              <w:t xml:space="preserve">Sim</w:t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Boleto Bancário / Pix</w:t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Vínculo com o cadastro de Formas de Pagamento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19"/>
                <w:szCs w:val="19"/>
                <w:rtl w:val="0"/>
              </w:rPr>
              <w:t xml:space="preserve">Status da Conta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Situação operacional do lançamento</w:t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String / Enum</w:t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spacing w:after="210" w:before="12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1b5e20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20"/>
                <w:sz w:val="19"/>
                <w:szCs w:val="19"/>
                <w:rtl w:val="0"/>
              </w:rPr>
              <w:t xml:space="preserve">Sim</w:t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Aberto, Parcial, Liquidado, Cancelado</w:t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Atualizado conforme vencimento ou liquidação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19"/>
                <w:szCs w:val="19"/>
                <w:rtl w:val="0"/>
              </w:rPr>
              <w:t xml:space="preserve">Parcelamento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Indicador de número e total da parcela</w:t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String</w:t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spacing w:after="210" w:before="120" w:lineRule="auto"/>
              <w:jc w:val="center"/>
              <w:rPr>
                <w:rFonts w:ascii="Calibri" w:cs="Calibri" w:eastAsia="Calibri" w:hAnsi="Calibri"/>
                <w:color w:val="616161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616161"/>
                <w:sz w:val="19"/>
                <w:szCs w:val="19"/>
                <w:rtl w:val="0"/>
              </w:rPr>
              <w:t xml:space="preserve">Não</w:t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01/03</w:t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Obrigatório em títulos originados de compras/vendas parceladas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19"/>
                <w:szCs w:val="19"/>
                <w:rtl w:val="0"/>
              </w:rPr>
              <w:t xml:space="preserve">Juros / Multa Previstos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Percentuais acordados em caso de atraso</w:t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Decimal</w:t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spacing w:after="210" w:before="120" w:lineRule="auto"/>
              <w:jc w:val="center"/>
              <w:rPr>
                <w:rFonts w:ascii="Calibri" w:cs="Calibri" w:eastAsia="Calibri" w:hAnsi="Calibri"/>
                <w:color w:val="616161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616161"/>
                <w:sz w:val="19"/>
                <w:szCs w:val="19"/>
                <w:rtl w:val="0"/>
              </w:rPr>
              <w:t xml:space="preserve">Não</w:t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Multa: 2% / Juros: 1% a.m.</w:t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Utilizado no cálculo em títulos vencidos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19"/>
                <w:szCs w:val="19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Detalhamentos ou justificativas</w:t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String</w:t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spacing w:after="210" w:before="120" w:lineRule="auto"/>
              <w:jc w:val="center"/>
              <w:rPr>
                <w:rFonts w:ascii="Calibri" w:cs="Calibri" w:eastAsia="Calibri" w:hAnsi="Calibri"/>
                <w:color w:val="616161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616161"/>
                <w:sz w:val="19"/>
                <w:szCs w:val="19"/>
                <w:rtl w:val="0"/>
              </w:rPr>
              <w:t xml:space="preserve">Não</w:t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Compra de insumos ref. pedido 884</w:t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Campo livre para anotações</w:t>
            </w:r>
          </w:p>
        </w:tc>
      </w:tr>
    </w:tbl>
    <w:p w:rsidR="00000000" w:rsidDel="00000000" w:rsidP="00000000" w:rsidRDefault="00000000" w:rsidRPr="00000000" w14:paraId="00000091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Operações do CRUD</w:t>
      </w:r>
    </w:p>
    <w:tbl>
      <w:tblPr>
        <w:tblStyle w:val="Table5"/>
        <w:tblW w:w="8488.0" w:type="dxa"/>
        <w:jc w:val="left"/>
        <w:tblLayout w:type="fixed"/>
        <w:tblLook w:val="0400"/>
      </w:tblPr>
      <w:tblGrid>
        <w:gridCol w:w="1528"/>
        <w:gridCol w:w="2122"/>
        <w:gridCol w:w="2716"/>
        <w:gridCol w:w="2122"/>
        <w:tblGridChange w:id="0">
          <w:tblGrid>
            <w:gridCol w:w="1528"/>
            <w:gridCol w:w="2122"/>
            <w:gridCol w:w="2716"/>
            <w:gridCol w:w="212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shd w:fill="2f5597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spacing w:after="210" w:before="120" w:lineRule="auto"/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Operação</w:t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shd w:fill="2f5597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spacing w:after="210" w:before="120" w:lineRule="auto"/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Quem pode executar?</w:t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shd w:fill="2f5597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spacing w:after="210" w:before="120" w:lineRule="auto"/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Regras / validações</w:t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shd w:fill="2f5597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spacing w:after="210" w:before="120" w:lineRule="auto"/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Observações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19"/>
                <w:szCs w:val="19"/>
                <w:rtl w:val="0"/>
              </w:rPr>
              <w:t xml:space="preserve">Criar (Create)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Financeiro, Compras, Vendas e Administrador</w:t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Tipo de lançamento, Pessoa (Cliente/Fornecedor), Categoria, Vencimento e Valor Nominal positivo são obrigatórios.</w:t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Permite geração avulsa ou em lote de parcelas (ex.: 30/60/90 dias).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19"/>
                <w:szCs w:val="19"/>
                <w:rtl w:val="0"/>
              </w:rPr>
              <w:t xml:space="preserve">Consultar/Listar (Read)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Financeiro, Gestores e Administrador</w:t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Acesso definido por perfil. Permite visão segregada (A Pagar / A Receber).</w:t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Alertas visuais automáticos para títulos vencidos ou a vencer.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19"/>
                <w:szCs w:val="19"/>
                <w:rtl w:val="0"/>
              </w:rPr>
              <w:t xml:space="preserve">Alterar (Update)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Setor Financeiro e Administrador</w:t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Títulos já liquidados total ou parcialmente não podem ter Valor Nominal, Tipo ou Entidade alterados diretamente.</w:t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Permite prorrogação de vencimento mantendo log de auditoria.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19"/>
                <w:szCs w:val="19"/>
                <w:rtl w:val="0"/>
              </w:rPr>
              <w:t xml:space="preserve">Excluir/Inativar (Delete)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Apenas Administrador</w:t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Não é permitida a exclusão física se houver pagamentos/recebimentos parciais vinculados.</w:t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O título deve ser marcado como Cancelado com justificativa obrigatória.</w:t>
            </w:r>
          </w:p>
        </w:tc>
      </w:tr>
    </w:tbl>
    <w:p w:rsidR="00000000" w:rsidDel="00000000" w:rsidP="00000000" w:rsidRDefault="00000000" w:rsidRPr="00000000" w14:paraId="000000A6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 Regras de negócio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RN01 – Vinculação Obrigatória: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 Todo lançamento "A Pagar" deve estar obrigatoriamente associado a um Fornecedor ativo; todo lançamento "A Receber" deve estar vinculado a um Cliente ativo.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RN02 – Integridade de Baixa: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 Um título em aberto não pode ser excluído fisicamente se já possuir histórico de movimentação ou baixa parcial em "Pagamentos e Recebimentos".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RN03 – Consistência de Categoria: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 A categoria financeira selecionada deve coincidir com a natureza do título (ex.: título "A Pagar" só pode receber categoria do tipo Despesa).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RN04 – Determinação Automática de Status: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 Títulos com data de vencimento menor que a data corrente e valor em aberto não liquidado devem assumir automaticamente a condição de Vencido.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RN05 – Rastreabilidade e Auditoria: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 Toda prorrogação de vencimento, renegociação de valores ou cancelamento de título deve registrar data, hora, usuário e motivo do ajuste.</w:t>
      </w:r>
    </w:p>
    <w:p w:rsidR="00000000" w:rsidDel="00000000" w:rsidP="00000000" w:rsidRDefault="00000000" w:rsidRPr="00000000" w14:paraId="000000AC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6. Validações e consistência dos dados</w:t>
      </w:r>
    </w:p>
    <w:tbl>
      <w:tblPr>
        <w:tblStyle w:val="Table6"/>
        <w:tblW w:w="8488.0" w:type="dxa"/>
        <w:jc w:val="left"/>
        <w:tblLayout w:type="fixed"/>
        <w:tblLook w:val="0400"/>
      </w:tblPr>
      <w:tblGrid>
        <w:gridCol w:w="4244"/>
        <w:gridCol w:w="4244"/>
        <w:tblGridChange w:id="0">
          <w:tblGrid>
            <w:gridCol w:w="4244"/>
            <w:gridCol w:w="42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shd w:fill="e9eef4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spacing w:after="210" w:before="120" w:lineRule="auto"/>
              <w:rPr>
                <w:rFonts w:ascii="Calibri" w:cs="Calibri" w:eastAsia="Calibri" w:hAnsi="Calibri"/>
                <w:b w:val="1"/>
                <w:bCs w:val="1"/>
                <w:color w:val="1f4e78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8"/>
                <w:sz w:val="18"/>
                <w:szCs w:val="18"/>
                <w:rtl w:val="0"/>
              </w:rPr>
              <w:t xml:space="preserve">Item</w:t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shd w:fill="e9eef4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spacing w:after="210" w:before="120" w:lineRule="auto"/>
              <w:rPr>
                <w:rFonts w:ascii="Calibri" w:cs="Calibri" w:eastAsia="Calibri" w:hAnsi="Calibri"/>
                <w:b w:val="1"/>
                <w:bCs w:val="1"/>
                <w:color w:val="1f4e78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8"/>
                <w:sz w:val="18"/>
                <w:szCs w:val="18"/>
                <w:rtl w:val="0"/>
              </w:rPr>
              <w:t xml:space="preserve">Definição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19"/>
                <w:szCs w:val="19"/>
                <w:rtl w:val="0"/>
              </w:rPr>
              <w:t xml:space="preserve">Dados únicos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Código identificador gerado pelo sistema; combinação de [Número do Documento + Entidade + Parcela] não deve duplicar no mesmo dia.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19"/>
                <w:szCs w:val="19"/>
                <w:rtl w:val="0"/>
              </w:rPr>
              <w:t xml:space="preserve">Formatos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Valores monetários com duas casas decimais; datas no formato DD/MM/AAAA.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19"/>
                <w:szCs w:val="19"/>
                <w:rtl w:val="0"/>
              </w:rPr>
              <w:t xml:space="preserve">Limites / faixas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Valor Nominal &gt; R$ 0,00; Data de Vencimento não pode ser anterior à Data de Emissão. Data de vencimento não deve permitir anos inferiores a 2000 ou superiores a 2100.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19"/>
                <w:szCs w:val="19"/>
                <w:rtl w:val="0"/>
              </w:rPr>
              <w:t xml:space="preserve">Dependências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O título depende da existência prévia de Categorias Financeiras e de Clientes/Fornecedores.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19"/>
                <w:szCs w:val="19"/>
                <w:rtl w:val="0"/>
              </w:rPr>
              <w:t xml:space="preserve">Inativação / exclusão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Vedada exclusão física de registros com movimentação. O cancelamento reverte qualquer impacto em previsões de fluxo de caixa, mas mantém o rastro histórico.</w:t>
            </w:r>
          </w:p>
        </w:tc>
      </w:tr>
    </w:tbl>
    <w:p w:rsidR="00000000" w:rsidDel="00000000" w:rsidP="00000000" w:rsidRDefault="00000000" w:rsidRPr="00000000" w14:paraId="000000B9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7. Relacionamentos com outros cadastros</w:t>
      </w:r>
    </w:p>
    <w:tbl>
      <w:tblPr>
        <w:tblStyle w:val="Table7"/>
        <w:tblW w:w="8488.0" w:type="dxa"/>
        <w:jc w:val="left"/>
        <w:tblLayout w:type="fixed"/>
        <w:tblLook w:val="0400"/>
      </w:tblPr>
      <w:tblGrid>
        <w:gridCol w:w="2376"/>
        <w:gridCol w:w="1528"/>
        <w:gridCol w:w="3395"/>
        <w:gridCol w:w="1189"/>
        <w:tblGridChange w:id="0">
          <w:tblGrid>
            <w:gridCol w:w="2376"/>
            <w:gridCol w:w="1528"/>
            <w:gridCol w:w="3395"/>
            <w:gridCol w:w="118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shd w:fill="2f5597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spacing w:after="210" w:before="120" w:lineRule="auto"/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Cadastro relacionado</w:t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shd w:fill="2f5597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spacing w:after="210" w:before="120" w:lineRule="auto"/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 de relação</w:t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shd w:fill="2f5597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spacing w:after="210" w:before="120" w:lineRule="auto"/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Motivo / uso</w:t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shd w:fill="2f5597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spacing w:after="210" w:before="120" w:lineRule="auto"/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Obrigatório?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19"/>
                <w:szCs w:val="19"/>
                <w:rtl w:val="0"/>
              </w:rPr>
              <w:t xml:space="preserve">Fornecedores / 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Obrigatório (1:N)</w:t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Define o credor da obrigação ou o devedor do direito</w:t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spacing w:after="210" w:before="12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1b5e20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20"/>
                <w:sz w:val="19"/>
                <w:szCs w:val="19"/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19"/>
                <w:szCs w:val="19"/>
                <w:rtl w:val="0"/>
              </w:rPr>
              <w:t xml:space="preserve">Categorias Financeiras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Obrigatório (1:N)</w:t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Classifica a natureza para DRE, relatórios e fluxo de caixa</w:t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spacing w:after="210" w:before="12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1b5e20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20"/>
                <w:sz w:val="19"/>
                <w:szCs w:val="19"/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19"/>
                <w:szCs w:val="19"/>
                <w:rtl w:val="0"/>
              </w:rPr>
              <w:t xml:space="preserve">Centros de Custos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Complementar (1:N)</w:t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Aloca o título à unidade orçamentária responsável</w:t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spacing w:after="210" w:before="120" w:lineRule="auto"/>
              <w:jc w:val="center"/>
              <w:rPr>
                <w:rFonts w:ascii="Calibri" w:cs="Calibri" w:eastAsia="Calibri" w:hAnsi="Calibri"/>
                <w:color w:val="616161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616161"/>
                <w:sz w:val="19"/>
                <w:szCs w:val="19"/>
                <w:rtl w:val="0"/>
              </w:rPr>
              <w:t xml:space="preserve">Não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19"/>
                <w:szCs w:val="19"/>
                <w:rtl w:val="0"/>
              </w:rPr>
              <w:t xml:space="preserve">Formas de 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Obrigatório (1:N)</w:t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Indica o meio previsto para liquidação futura</w:t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spacing w:after="210" w:before="12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1b5e20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20"/>
                <w:sz w:val="19"/>
                <w:szCs w:val="19"/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19"/>
                <w:szCs w:val="19"/>
                <w:rtl w:val="0"/>
              </w:rPr>
              <w:t xml:space="preserve">Pagamentos / Recebimentos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Dependente (1:N)</w:t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Módulo executor que realiza as baixas parciais ou totais</w:t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spacing w:after="210" w:before="12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1b5e20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20"/>
                <w:sz w:val="19"/>
                <w:szCs w:val="19"/>
                <w:rtl w:val="0"/>
              </w:rPr>
              <w:t xml:space="preserve">Sim (na liquidação)</w:t>
            </w:r>
          </w:p>
        </w:tc>
      </w:tr>
    </w:tbl>
    <w:p w:rsidR="00000000" w:rsidDel="00000000" w:rsidP="00000000" w:rsidRDefault="00000000" w:rsidRPr="00000000" w14:paraId="000000D2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8. Pesquisa, filtros e ordenação</w:t>
      </w:r>
    </w:p>
    <w:tbl>
      <w:tblPr>
        <w:tblStyle w:val="Table8"/>
        <w:tblW w:w="8488.0" w:type="dxa"/>
        <w:jc w:val="left"/>
        <w:tblLayout w:type="fixed"/>
        <w:tblLook w:val="0400"/>
      </w:tblPr>
      <w:tblGrid>
        <w:gridCol w:w="4244"/>
        <w:gridCol w:w="4244"/>
        <w:tblGridChange w:id="0">
          <w:tblGrid>
            <w:gridCol w:w="4244"/>
            <w:gridCol w:w="42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shd w:fill="e9eef4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spacing w:after="210" w:before="120" w:lineRule="auto"/>
              <w:rPr>
                <w:rFonts w:ascii="Calibri" w:cs="Calibri" w:eastAsia="Calibri" w:hAnsi="Calibri"/>
                <w:b w:val="1"/>
                <w:bCs w:val="1"/>
                <w:color w:val="1f4e78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8"/>
                <w:sz w:val="18"/>
                <w:szCs w:val="18"/>
                <w:rtl w:val="0"/>
              </w:rPr>
              <w:t xml:space="preserve">Item</w:t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shd w:fill="e9eef4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spacing w:after="210" w:before="120" w:lineRule="auto"/>
              <w:rPr>
                <w:rFonts w:ascii="Calibri" w:cs="Calibri" w:eastAsia="Calibri" w:hAnsi="Calibri"/>
                <w:b w:val="1"/>
                <w:bCs w:val="1"/>
                <w:color w:val="1f4e78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8"/>
                <w:sz w:val="18"/>
                <w:szCs w:val="18"/>
                <w:rtl w:val="0"/>
              </w:rPr>
              <w:t xml:space="preserve">Definição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19"/>
                <w:szCs w:val="19"/>
                <w:rtl w:val="0"/>
              </w:rPr>
              <w:t xml:space="preserve">Como localizar registros?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Código do título, nome da entidade (cliente/fornecedor), CPF/CNPJ ou número do documento.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19"/>
                <w:szCs w:val="19"/>
                <w:rtl w:val="0"/>
              </w:rPr>
              <w:t xml:space="preserve">Filtros necessários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Período de vencimento (Início/Fim), Status (Aberto, Vencido, Parcialmente Pago, Liquidado, Cancelado), Entidade, Categoria Financeira e Centro de Custo.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19"/>
                <w:szCs w:val="19"/>
                <w:rtl w:val="0"/>
              </w:rPr>
              <w:t xml:space="preserve">Ordenação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Padrão por Data de Vencimento ascendente (prioriza próximos a vencer), alfabética por Entidade ou por Valor.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19"/>
                <w:szCs w:val="19"/>
                <w:rtl w:val="0"/>
              </w:rPr>
              <w:t xml:space="preserve">Informações da listagem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Código, Entidade, Documento, Vencimento, Valor Nominal, Saldo Devedor/Aberto, Status e Categoria.</w:t>
            </w:r>
          </w:p>
        </w:tc>
      </w:tr>
    </w:tbl>
    <w:p w:rsidR="00000000" w:rsidDel="00000000" w:rsidP="00000000" w:rsidRDefault="00000000" w:rsidRPr="00000000" w14:paraId="000000DD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9. Permissões e segurança</w:t>
      </w:r>
    </w:p>
    <w:tbl>
      <w:tblPr>
        <w:tblStyle w:val="Table9"/>
        <w:tblW w:w="8488.0" w:type="dxa"/>
        <w:jc w:val="left"/>
        <w:tblLayout w:type="fixed"/>
        <w:tblLook w:val="0400"/>
      </w:tblPr>
      <w:tblGrid>
        <w:gridCol w:w="4244"/>
        <w:gridCol w:w="4244"/>
        <w:tblGridChange w:id="0">
          <w:tblGrid>
            <w:gridCol w:w="4244"/>
            <w:gridCol w:w="42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shd w:fill="e9eef4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spacing w:after="210" w:before="120" w:lineRule="auto"/>
              <w:rPr>
                <w:rFonts w:ascii="Calibri" w:cs="Calibri" w:eastAsia="Calibri" w:hAnsi="Calibri"/>
                <w:b w:val="1"/>
                <w:bCs w:val="1"/>
                <w:color w:val="1f4e78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8"/>
                <w:sz w:val="18"/>
                <w:szCs w:val="18"/>
                <w:rtl w:val="0"/>
              </w:rPr>
              <w:t xml:space="preserve">Item</w:t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shd w:fill="e9eef4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spacing w:after="210" w:before="120" w:lineRule="auto"/>
              <w:rPr>
                <w:rFonts w:ascii="Calibri" w:cs="Calibri" w:eastAsia="Calibri" w:hAnsi="Calibri"/>
                <w:b w:val="1"/>
                <w:bCs w:val="1"/>
                <w:color w:val="1f4e78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8"/>
                <w:sz w:val="18"/>
                <w:szCs w:val="18"/>
                <w:rtl w:val="0"/>
              </w:rPr>
              <w:t xml:space="preserve">Definição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19"/>
                <w:szCs w:val="19"/>
                <w:rtl w:val="0"/>
              </w:rPr>
              <w:t xml:space="preserve">Quem pode consultar?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Setor Financeiro, Faturamento, Compras e Administradores. Livre para o setor financeiro; restrita a "vendas" para contas a receber de seus respectivos clientes.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19"/>
                <w:szCs w:val="19"/>
                <w:rtl w:val="0"/>
              </w:rPr>
              <w:t xml:space="preserve">Quem pode cadastrar?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Financeiro, Compras (a pagar), Vendas/Faturamento (a receber) e Administrador.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19"/>
                <w:szCs w:val="19"/>
                <w:rtl w:val="0"/>
              </w:rPr>
              <w:t xml:space="preserve">Quem pode alterar?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Setor Financeiro e Administrador. Edição de valores restrita ao Coordenador Financeiro ou Administrador após a criação do título.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19"/>
                <w:szCs w:val="19"/>
                <w:rtl w:val="0"/>
              </w:rPr>
              <w:t xml:space="preserve">Quem pode excluir/inativar?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Apenas Administrador.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19"/>
                <w:szCs w:val="19"/>
                <w:rtl w:val="0"/>
              </w:rPr>
              <w:t xml:space="preserve">Dados sensíveis?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Sim (dados de valores corporativos, títulos e documentos fiscais).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19"/>
                <w:szCs w:val="19"/>
                <w:rtl w:val="0"/>
              </w:rPr>
              <w:t xml:space="preserve">Auditoria necessária?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Sim, registro de criação, alteração de vencimentos/valores e cancelamentos com trilha completa de auditoria (logs com usuário, data e hora).</w:t>
            </w:r>
          </w:p>
        </w:tc>
      </w:tr>
    </w:tbl>
    <w:p w:rsidR="00000000" w:rsidDel="00000000" w:rsidP="00000000" w:rsidRDefault="00000000" w:rsidRPr="00000000" w14:paraId="000000EC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10. Cenários de uso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Cenário 1 (Registro de Despesa Fixa/Parcelada):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 O operador do Financeiro registra a conta de energia do mês, vinculando ao fornecedor da concessionária, centro de custo "Administrativo" e categoria "Utilidades/Energia".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Cenário 2 (Venda a Prazo / Integração Comercial):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 Após a confirmação de uma venda no faturamento, o sistema gera automaticamente 3 títulos "A Receber" vinculados ao cliente, com vencimentos em 30, 60 e 90 dias.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Cenário 3 (Cancelamento de Título por Erro / Renegociação):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 Um título foi gerado com valor nominal incorreto ou o serviço foi cancelado. O administrador altera o status para "Cancelado", insere a justificativa obrigatória e gera o título retificado.</w:t>
      </w:r>
    </w:p>
    <w:p w:rsidR="00000000" w:rsidDel="00000000" w:rsidP="00000000" w:rsidRDefault="00000000" w:rsidRPr="00000000" w14:paraId="000000F0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11. Exceções e situações especiais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Títulos renegociados: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 Em caso de acordo, o título original é baixado/cancelado por renegociação e novos títulos são gerados com os novos prazos acordados.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Pagamento parcial: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 Se houver pagamento parcial, o título não é encerrado; seu status muda para Parcial e o saldo devedor permanece em aberto.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Títulos em Moeda Estrangeira: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 Caso o sistema suporte, o valor nominal deve ser fixado na moeda de origem, mas a previsão de caixa deve refletir a conversão pela PTAX do dia.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Juros dinâmicos / Antecipação com desconto: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 Títulos vencidos exibem o "Valor Atualizado" simulando a aplicação de juros/multa cadastrados no momento da consulta, sem alterar o valor nominal de origem.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12. Integrações e impactos</w:t>
      </w:r>
    </w:p>
    <w:tbl>
      <w:tblPr>
        <w:tblStyle w:val="Table10"/>
        <w:tblW w:w="8488.0" w:type="dxa"/>
        <w:jc w:val="left"/>
        <w:tblLayout w:type="fixed"/>
        <w:tblLook w:val="0400"/>
      </w:tblPr>
      <w:tblGrid>
        <w:gridCol w:w="2122"/>
        <w:gridCol w:w="1698"/>
        <w:gridCol w:w="4668"/>
        <w:tblGridChange w:id="0">
          <w:tblGrid>
            <w:gridCol w:w="2122"/>
            <w:gridCol w:w="1698"/>
            <w:gridCol w:w="466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shd w:fill="2f5597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spacing w:after="210" w:before="120" w:lineRule="auto"/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Sistema/Módulo Impactado</w:t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shd w:fill="2f5597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spacing w:after="210" w:before="120" w:lineRule="auto"/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 de Impacto</w:t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shd w:fill="2f5597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spacing w:after="210" w:before="120" w:lineRule="auto"/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19"/>
                <w:szCs w:val="19"/>
                <w:rtl w:val="0"/>
              </w:rPr>
              <w:t xml:space="preserve">Fluxo de Caixa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Alimentação</w:t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Títulos em aberto compõem a previsão de saldo futuro e disponibilidade financeira.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19"/>
                <w:szCs w:val="19"/>
                <w:rtl w:val="0"/>
              </w:rPr>
              <w:t xml:space="preserve">DRE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Demonstração</w:t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Títulos liquidados ou por competência alimentam o resultado do exercício contábil.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19"/>
                <w:szCs w:val="19"/>
                <w:rtl w:val="0"/>
              </w:rPr>
              <w:t xml:space="preserve">Conciliação Bancária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Conferência</w:t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O título é o objeto de comparação com o extrato bancário importado.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19"/>
                <w:szCs w:val="19"/>
                <w:rtl w:val="0"/>
              </w:rPr>
              <w:t xml:space="preserve">Módulos de Compras e Vendas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Alimentação automática</w:t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Pedidos confirmados geram os lançamentos financeiros sem necessidade de redigitação manual.</w:t>
            </w:r>
          </w:p>
        </w:tc>
      </w:tr>
    </w:tbl>
    <w:p w:rsidR="00000000" w:rsidDel="00000000" w:rsidP="00000000" w:rsidRDefault="00000000" w:rsidRPr="00000000" w14:paraId="0000010A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13. Exemplos / referências pesquisadas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Módulo Financeiro ERP Totvs / Protheus e SAP Business One (Padrão de Títulos a Pagar e Receber).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Especificação de regras de negócio das plataformas ContaAzul e Omie.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Material didático “Sistema de Gestão Financeira e Controle de Estoque”, fornecido para o projeto.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Documento de Regras de Negócio do Sistema FadConecta 2026.</w:t>
      </w:r>
    </w:p>
    <w:p w:rsidR="00000000" w:rsidDel="00000000" w:rsidP="00000000" w:rsidRDefault="00000000" w:rsidRPr="00000000" w14:paraId="0000010F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14. Dúvidas para validação com a equipe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spacing w:after="60" w:before="280" w:lineRule="auto"/>
        <w:ind w:left="1050" w:hanging="360"/>
        <w:rPr>
          <w:rFonts w:ascii="Calibri" w:cs="Calibri" w:eastAsia="Calibri" w:hAnsi="Calibri"/>
          <w:color w:val="262626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62626"/>
          <w:sz w:val="21"/>
          <w:szCs w:val="21"/>
          <w:rtl w:val="0"/>
        </w:rPr>
        <w:t xml:space="preserve">Títulos a receber originados de vendas serão gerados exclusivamente de forma automática ou será permitida inclusão avulsa manual?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spacing w:after="60" w:before="0" w:lineRule="auto"/>
        <w:ind w:left="1050" w:hanging="360"/>
        <w:rPr>
          <w:rFonts w:ascii="Calibri" w:cs="Calibri" w:eastAsia="Calibri" w:hAnsi="Calibri"/>
          <w:color w:val="262626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62626"/>
          <w:sz w:val="21"/>
          <w:szCs w:val="21"/>
          <w:rtl w:val="0"/>
        </w:rPr>
        <w:t xml:space="preserve">Deveremos permitir a edição do valor nominal após o título já ter sido parcialmente pago?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spacing w:after="60" w:before="0" w:lineRule="auto"/>
        <w:ind w:left="1050" w:hanging="360"/>
        <w:rPr>
          <w:rFonts w:ascii="Calibri" w:cs="Calibri" w:eastAsia="Calibri" w:hAnsi="Calibri"/>
          <w:color w:val="262626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62626"/>
          <w:sz w:val="21"/>
          <w:szCs w:val="21"/>
          <w:rtl w:val="0"/>
        </w:rPr>
        <w:t xml:space="preserve">O sistema deve realizar o cálculo de retenção de impostos (ISS, IRRF, PIS/COFINS) automaticamente no momento do cadastro do título ou apenas na liquidação?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spacing w:after="60" w:before="0" w:lineRule="auto"/>
        <w:ind w:left="1050" w:hanging="360"/>
        <w:rPr>
          <w:rFonts w:ascii="Calibri" w:cs="Calibri" w:eastAsia="Calibri" w:hAnsi="Calibri"/>
          <w:color w:val="262626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62626"/>
          <w:sz w:val="21"/>
          <w:szCs w:val="21"/>
          <w:rtl w:val="0"/>
        </w:rPr>
        <w:t xml:space="preserve">Qual será a regra de tolerância (dias de carência) antes da aplicação formal de juros moratórios em títulos vencidos?</w:t>
      </w:r>
    </w:p>
    <w:p w:rsidR="00000000" w:rsidDel="00000000" w:rsidP="00000000" w:rsidRDefault="00000000" w:rsidRPr="00000000" w14:paraId="00000114">
      <w:pPr>
        <w:spacing w:after="60" w:before="280" w:lineRule="auto"/>
        <w:ind w:left="1050" w:firstLine="0"/>
        <w:rPr>
          <w:rFonts w:ascii="Calibri" w:cs="Calibri" w:eastAsia="Calibri" w:hAnsi="Calibri"/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60" w:before="280" w:lineRule="auto"/>
        <w:ind w:left="1050" w:firstLine="0"/>
        <w:rPr>
          <w:rFonts w:ascii="Calibri" w:cs="Calibri" w:eastAsia="Calibri" w:hAnsi="Calibri"/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60" w:before="280" w:lineRule="auto"/>
        <w:ind w:left="1050" w:firstLine="0"/>
        <w:rPr>
          <w:rFonts w:ascii="Calibri" w:cs="Calibri" w:eastAsia="Calibri" w:hAnsi="Calibri"/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60" w:before="280" w:lineRule="auto"/>
        <w:ind w:left="1050" w:firstLine="0"/>
        <w:rPr>
          <w:rFonts w:ascii="Calibri" w:cs="Calibri" w:eastAsia="Calibri" w:hAnsi="Calibri"/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60" w:before="280" w:lineRule="auto"/>
        <w:ind w:left="1050" w:firstLine="0"/>
        <w:rPr>
          <w:rFonts w:ascii="Calibri" w:cs="Calibri" w:eastAsia="Calibri" w:hAnsi="Calibri"/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60" w:before="280" w:lineRule="auto"/>
        <w:ind w:left="1050" w:firstLine="0"/>
        <w:rPr>
          <w:rFonts w:ascii="Calibri" w:cs="Calibri" w:eastAsia="Calibri" w:hAnsi="Calibri"/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60" w:before="280" w:lineRule="auto"/>
        <w:ind w:left="1050" w:firstLine="0"/>
        <w:rPr>
          <w:rFonts w:ascii="Calibri" w:cs="Calibri" w:eastAsia="Calibri" w:hAnsi="Calibri"/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15. Resumo para apresentação</w:t>
      </w:r>
    </w:p>
    <w:tbl>
      <w:tblPr>
        <w:tblStyle w:val="Table11"/>
        <w:tblW w:w="8488.0" w:type="dxa"/>
        <w:jc w:val="left"/>
        <w:tblLayout w:type="fixed"/>
        <w:tblLook w:val="0400"/>
      </w:tblPr>
      <w:tblGrid>
        <w:gridCol w:w="4244"/>
        <w:gridCol w:w="4244"/>
        <w:tblGridChange w:id="0">
          <w:tblGrid>
            <w:gridCol w:w="4244"/>
            <w:gridCol w:w="42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shd w:fill="e9eef4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spacing w:after="210" w:before="120" w:lineRule="auto"/>
              <w:rPr>
                <w:rFonts w:ascii="Calibri" w:cs="Calibri" w:eastAsia="Calibri" w:hAnsi="Calibri"/>
                <w:b w:val="1"/>
                <w:bCs w:val="1"/>
                <w:color w:val="1f4e78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8"/>
                <w:sz w:val="18"/>
                <w:szCs w:val="18"/>
                <w:rtl w:val="0"/>
              </w:rPr>
              <w:t xml:space="preserve">Item</w:t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shd w:fill="e9eef4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spacing w:after="210" w:before="120" w:lineRule="auto"/>
              <w:rPr>
                <w:rFonts w:ascii="Calibri" w:cs="Calibri" w:eastAsia="Calibri" w:hAnsi="Calibri"/>
                <w:b w:val="1"/>
                <w:bCs w:val="1"/>
                <w:color w:val="1f4e78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8"/>
                <w:sz w:val="18"/>
                <w:szCs w:val="18"/>
                <w:rtl w:val="0"/>
              </w:rPr>
              <w:t xml:space="preserve">Detalhe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19"/>
                <w:szCs w:val="19"/>
                <w:rtl w:val="0"/>
              </w:rPr>
              <w:t xml:space="preserve">3 Informações Essenciais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1. Tipo de Lançamento (A Pagar / A Receber); 2. Entidade vinculada (Cliente/Fornecedor) e Categoria Financeira; 3. Valor Nominal, Vencimento e Saldo em aberto.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19"/>
                <w:szCs w:val="19"/>
                <w:rtl w:val="0"/>
              </w:rPr>
              <w:t xml:space="preserve">3 Principais Regras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1. Vinculação obrigatória de entidade ativa; 2. Consistência entre Categoria Financeira e o Tipo de Lançamento (Receita vs Despesa); 3. Transição automática de status para Vencido e proibição de exclusão física após movimentações.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19"/>
                <w:szCs w:val="19"/>
                <w:rtl w:val="0"/>
              </w:rPr>
              <w:t xml:space="preserve">Principal Relacionamento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Vínculo direto com Clientes / Fornecedores e consumo pelo módulo de Pagamentos e Recebimentos no momento da liquidação.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19"/>
                <w:szCs w:val="19"/>
                <w:rtl w:val="0"/>
              </w:rPr>
              <w:t xml:space="preserve">Principal Risco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Falhas de saldo ou duplicidade de lançamentos gerando cobranças indevidas ou distorções severas na projeção do fluxo de caixa.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19"/>
                <w:szCs w:val="19"/>
                <w:rtl w:val="0"/>
              </w:rPr>
              <w:t xml:space="preserve">Decisões Pendentes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6" w:val="single"/>
              <w:left w:color="b0c4de" w:space="0" w:sz="6" w:val="single"/>
              <w:bottom w:color="b0c4de" w:space="0" w:sz="6" w:val="single"/>
              <w:right w:color="b0c4de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spacing w:after="210" w:before="120" w:lineRule="auto"/>
              <w:rPr>
                <w:rFonts w:ascii="Calibri" w:cs="Calibri" w:eastAsia="Calibri" w:hAnsi="Calibri"/>
                <w:color w:val="262626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Definição da regra de automação para impostos retidos na fonte e alçadas de aprovação para cancelamento de títulos.</w:t>
            </w:r>
          </w:p>
        </w:tc>
      </w:tr>
    </w:tbl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Link com (site) exemplo: https://saturno-malta.github.io/fadconecta-financeiro/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60" w:lineRule="auto"/>
    </w:pPr>
    <w:rPr>
      <w:b w:val="1"/>
      <w:bCs w:val="1"/>
      <w:smallCaps w:val="1"/>
      <w:color w:val="1f4e78"/>
      <w:sz w:val="32"/>
      <w:szCs w:val="32"/>
    </w:rPr>
  </w:style>
  <w:style w:type="paragraph" w:styleId="Heading2">
    <w:name w:val="heading 2"/>
    <w:basedOn w:val="Normal"/>
    <w:next w:val="Normal"/>
    <w:pPr>
      <w:pBdr>
        <w:left w:color="2f5597" w:space="6" w:sz="24" w:val="single"/>
      </w:pBdr>
      <w:shd w:fill="f2f5f9" w:val="clear"/>
      <w:spacing w:after="120" w:before="300" w:lineRule="auto"/>
    </w:pPr>
    <w:rPr>
      <w:b w:val="1"/>
      <w:bCs w:val="1"/>
      <w:color w:val="1f4e7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locked w:val="1"/>
    <w:rPr>
      <w:rFonts w:asciiTheme="majorHAnsi" w:cstheme="majorBidi" w:eastAsiaTheme="majorEastAsia" w:hAnsiTheme="majorHAnsi" w:hint="default"/>
      <w:color w:val="2f5496" w:themeColor="accent1" w:themeShade="0000BF"/>
      <w:sz w:val="32"/>
      <w:szCs w:val="32"/>
    </w:rPr>
  </w:style>
  <w:style w:type="character" w:styleId="Ttulo2Char" w:customStyle="1">
    <w:name w:val="Título 2 Char"/>
    <w:basedOn w:val="Fontepargpadro"/>
    <w:link w:val="Ttulo2"/>
    <w:uiPriority w:val="9"/>
    <w:semiHidden w:val="1"/>
    <w:locked w:val="1"/>
    <w:rPr>
      <w:rFonts w:asciiTheme="majorHAnsi" w:cstheme="majorBidi" w:eastAsiaTheme="majorEastAsia" w:hAnsiTheme="majorHAnsi" w:hint="default"/>
      <w:color w:val="2f5496" w:themeColor="accent1" w:themeShade="0000BF"/>
      <w:sz w:val="26"/>
      <w:szCs w:val="26"/>
    </w:rPr>
  </w:style>
  <w:style w:type="paragraph" w:styleId="msonormal0" w:customStyle="1">
    <w:name w:val="msonormal"/>
    <w:basedOn w:val="Normal"/>
    <w:uiPriority w:val="99"/>
    <w:semiHidden w:val="1"/>
    <w:pPr>
      <w:spacing w:after="90" w:before="90"/>
    </w:pPr>
  </w:style>
  <w:style w:type="paragraph" w:styleId="NormalWeb">
    <w:name w:val="Normal (Web)"/>
    <w:basedOn w:val="Normal"/>
    <w:uiPriority w:val="99"/>
    <w:semiHidden w:val="1"/>
    <w:unhideWhenUsed w:val="1"/>
    <w:pPr>
      <w:spacing w:after="90" w:before="90"/>
    </w:pPr>
  </w:style>
  <w:style w:type="paragraph" w:styleId="doc-header" w:customStyle="1">
    <w:name w:val="doc-header"/>
    <w:basedOn w:val="Normal"/>
    <w:uiPriority w:val="99"/>
    <w:semiHidden w:val="1"/>
    <w:pPr>
      <w:pBdr>
        <w:bottom w:color="1f4e78" w:space="5" w:sz="12" w:val="single"/>
      </w:pBdr>
      <w:spacing w:after="240" w:before="100" w:beforeAutospacing="1"/>
    </w:pPr>
  </w:style>
  <w:style w:type="paragraph" w:styleId="doc-objective" w:customStyle="1">
    <w:name w:val="doc-objective"/>
    <w:basedOn w:val="Normal"/>
    <w:uiPriority w:val="99"/>
    <w:semiHidden w:val="1"/>
    <w:rPr>
      <w:color w:val="555555"/>
      <w:sz w:val="19"/>
      <w:szCs w:val="19"/>
    </w:rPr>
  </w:style>
  <w:style w:type="paragraph" w:styleId="badge-yes" w:customStyle="1">
    <w:name w:val="badge-yes"/>
    <w:basedOn w:val="Normal"/>
    <w:uiPriority w:val="99"/>
    <w:semiHidden w:val="1"/>
    <w:pPr>
      <w:spacing w:after="60" w:before="100" w:beforeAutospacing="1"/>
      <w:jc w:val="center"/>
    </w:pPr>
    <w:rPr>
      <w:b w:val="1"/>
      <w:bCs w:val="1"/>
      <w:color w:val="1b5e20"/>
    </w:rPr>
  </w:style>
  <w:style w:type="paragraph" w:styleId="badge-no" w:customStyle="1">
    <w:name w:val="badge-no"/>
    <w:basedOn w:val="Normal"/>
    <w:uiPriority w:val="99"/>
    <w:semiHidden w:val="1"/>
    <w:pPr>
      <w:spacing w:after="60" w:before="100" w:beforeAutospacing="1"/>
      <w:jc w:val="center"/>
    </w:pPr>
    <w:rPr>
      <w:color w:val="616161"/>
    </w:rPr>
  </w:style>
  <w:style w:type="character" w:styleId="Forte">
    <w:name w:val="Strong"/>
    <w:basedOn w:val="Fontepargpadro"/>
    <w:uiPriority w:val="22"/>
    <w:qFormat w:val="1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58j+TDSYLo2S195cA789Uqt+rw==">CgMxLjA4AHIhMW5zbWE5QWt2V3psekVrNDZJTDMtSkVXTms3S196MEJT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2026-09-24T17:01:00Z</dcterms:created>
  <dc:creator>Leonardo Malta Machado - Terceirizado</dc:creator>
</cp:coreProperties>
</file>