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TABLE usuarios (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nome VARCHAR(255) NOT NULL,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email VARCHAR(255) UNIQUE,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clientes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nome VARCHAR(255)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documento VARCHAR(20) UNIQUE,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fornecedores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razao_social VARCHAR(255)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cnpj VARCHAR(20) UNIQUE,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contas_financeiras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nome VARCHAR(100) NOT NULL,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saldo_atual DECIMAL(15,2) DEFAULT 0.00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formas_pagamento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descricao VARCHAR(50) NOT NULL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TABLE categorias_financeiras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nome VARCHAR(100)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tipo VARCHAR(20) CHECK (tipo IN ('RECEITA', 'DESPESA'))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TABLE centros_custos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nome VARCHAR(100) NOT NULL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TABLE pagamentos_recebimentos 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tipo VARCHAR(20) NOT NULL CHECK (tipo IN ('PAGAMENTO', 'RECEBIMENTO')),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descricao TEXT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valor DECIMAL(15,2) 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data_emissao DATE NOT NULL DEFAULT CURRENT_DATE,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data_vencimento DATE NOT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data_quitacao DATE,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status VARCHAR(20) NOT NULL DEFAULT 'PENDENTE' CHECK (status IN ('PENDENTE', 'QUITADO', 'CANCELADO', 'ATRASADO')),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cliente_id INTEGER REFERENCES clientes(id) ON DELETE SET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fornecedor_id INTEGER REFERENCES fornecedores(id) ON DELETE SET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conta_financeira_id INTEGER REFERENCES contas_financeiras(id),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forma_pagamento_id INTEGER REFERENCES formas_pagamento(id),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categoria_financeira_id INTEGER REFERENCES categorias_financeiras(id),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centro_custo_id INTEGER REFERENCES centros_custos(id),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usuario_id INTEGER REFERENCES usuarios(id),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updated_at TIMESTAMP DEFAULT CURRENT_TIMESTAMP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COMMENT ON TABLE pagamentos_recebimentos IS 'Tabela central de movimentações financeiras gerada a partir da especificação do projeto.';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