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
          <w:szCs w:val="4"/>
        </w:rPr>
        <w:t xml:space="preserve"/>
      </w:r>
    </w:p>
    <w:p>
      <w:pPr>
        <w:spacing w:after="0" w:before="800"/>
      </w:pPr>
    </w:p>
    <w:p>
      <w:pPr>
        <w:pBdr>
          <w:bottom w:val="single" w:color="ED7D31" w:sz="20" w:space="0"/>
        </w:pBdr>
        <w:shd w:fill="1F3864" w:val="clear"/>
        <w:spacing w:after="0" w:before="0"/>
        <w:jc w:val="center"/>
      </w:pPr>
      <w:r>
        <w:rPr>
          <w:rFonts w:ascii="Calibri" w:cs="Calibri" w:eastAsia="Calibri" w:hAnsi="Calibri"/>
          <w:b/>
          <w:bCs/>
          <w:color w:val="FFFFFF"/>
          <w:sz w:val="20"/>
          <w:szCs w:val="20"/>
        </w:rPr>
        <w:t xml:space="preserve">HEALTHMAX  |  FMCG ANALYTICS DIVISION</w:t>
      </w:r>
    </w:p>
    <w:p>
      <w:pPr>
        <w:spacing w:after="100" w:before="200"/>
        <w:jc w:val="center"/>
      </w:pPr>
      <w:r>
        <w:rPr>
          <w:rFonts w:ascii="Calibri" w:cs="Calibri" w:eastAsia="Calibri" w:hAnsi="Calibri"/>
          <w:b/>
          <w:bCs/>
          <w:color w:val="1F3864"/>
          <w:sz w:val="56"/>
          <w:szCs w:val="56"/>
        </w:rPr>
        <w:t xml:space="preserve">FMCG Market Analysis &amp;</w:t>
      </w:r>
    </w:p>
    <w:p>
      <w:pPr>
        <w:spacing w:after="60" w:before="0"/>
        <w:jc w:val="center"/>
      </w:pPr>
      <w:r>
        <w:rPr>
          <w:rFonts w:ascii="Calibri" w:cs="Calibri" w:eastAsia="Calibri" w:hAnsi="Calibri"/>
          <w:b/>
          <w:bCs/>
          <w:color w:val="2E75B6"/>
          <w:sz w:val="56"/>
          <w:szCs w:val="56"/>
        </w:rPr>
        <w:t xml:space="preserve">Net Revenue Management</w:t>
      </w:r>
    </w:p>
    <w:p>
      <w:pPr>
        <w:spacing w:after="40" w:before="0"/>
        <w:jc w:val="center"/>
      </w:pPr>
      <w:r>
        <w:rPr>
          <w:rFonts w:ascii="Calibri" w:cs="Calibri" w:eastAsia="Calibri" w:hAnsi="Calibri"/>
          <w:i/>
          <w:iCs/>
          <w:color w:val="666666"/>
          <w:sz w:val="26"/>
          <w:szCs w:val="26"/>
        </w:rPr>
        <w:t xml:space="preserve">Strategic Analysis Report  |  Shampoo Category</w:t>
      </w:r>
    </w:p>
    <w:p>
      <w:pPr>
        <w:pBdr>
          <w:bottom w:val="single" w:color="D9D9D9" w:sz="4" w:space="1"/>
        </w:pBdr>
        <w:spacing w:after="80" w:before="80"/>
      </w:pPr>
      <w:r>
        <w:rPr>
          <w:sz w:val="4"/>
          <w:szCs w:val="4"/>
        </w:rPr>
        <w:t xml:space="preserve"/>
      </w:r>
    </w:p>
    <w:p>
      <w:pPr>
        <w:spacing w:after="60" w:before="200"/>
        <w:jc w:val="center"/>
      </w:pPr>
      <w:r>
        <w:rPr>
          <w:rFonts w:ascii="Calibri" w:cs="Calibri" w:eastAsia="Calibri" w:hAnsi="Calibri"/>
          <w:color w:val="555555"/>
          <w:sz w:val="24"/>
          <w:szCs w:val="24"/>
        </w:rPr>
        <w:t xml:space="preserve">Prepared by: </w:t>
      </w:r>
      <w:r>
        <w:rPr>
          <w:rFonts w:ascii="Calibri" w:cs="Calibri" w:eastAsia="Calibri" w:hAnsi="Calibri"/>
          <w:b/>
          <w:bCs/>
          <w:color w:val="1F3864"/>
          <w:sz w:val="24"/>
          <w:szCs w:val="24"/>
        </w:rPr>
        <w:t xml:space="preserve">Satvik Sharma</w:t>
      </w:r>
    </w:p>
    <w:p>
      <w:pPr>
        <w:spacing w:after="60" w:before="0"/>
        <w:jc w:val="center"/>
      </w:pPr>
      <w:r>
        <w:rPr>
          <w:rFonts w:ascii="Calibri" w:cs="Calibri" w:eastAsia="Calibri" w:hAnsi="Calibri"/>
          <w:i/>
          <w:iCs/>
          <w:color w:val="666666"/>
          <w:sz w:val="22"/>
          <w:szCs w:val="22"/>
        </w:rPr>
        <w:t xml:space="preserve">Data Analyst &amp; Category Manager</w:t>
      </w:r>
    </w:p>
    <w:p>
      <w:pPr>
        <w:spacing w:after="0" w:before="0"/>
        <w:jc w:val="center"/>
      </w:pPr>
      <w:r>
        <w:rPr>
          <w:rFonts w:ascii="Calibri" w:cs="Calibri" w:eastAsia="Calibri" w:hAnsi="Calibri"/>
          <w:color w:val="999999"/>
          <w:sz w:val="20"/>
          <w:szCs w:val="20"/>
        </w:rPr>
        <w:t xml:space="preserve">FY 2023</w:t>
      </w:r>
    </w:p>
    <w:p>
      <w:r>
        <w:br w:type="page"/>
      </w:r>
    </w:p>
    <w:p>
      <w:pPr>
        <w:pStyle w:val="Heading1"/>
        <w:pBdr>
          <w:bottom w:val="single" w:color="2E75B6" w:sz="8" w:space="4"/>
        </w:pBdr>
        <w:spacing w:after="180" w:before="360"/>
      </w:pPr>
      <w:r>
        <w:rPr>
          <w:rFonts w:ascii="Calibri" w:cs="Calibri" w:eastAsia="Calibri" w:hAnsi="Calibri"/>
          <w:b/>
          <w:bCs/>
          <w:color w:val="1F3864"/>
          <w:sz w:val="32"/>
          <w:szCs w:val="32"/>
        </w:rPr>
        <w:t xml:space="preserve">Executive Summary</w:t>
      </w:r>
    </w:p>
    <w:p>
      <w:pPr>
        <w:spacing w:after="100" w:before="60"/>
        <w:jc w:val="left"/>
      </w:pPr>
      <w:r>
        <w:rPr>
          <w:rFonts w:ascii="Calibri" w:cs="Calibri" w:eastAsia="Calibri" w:hAnsi="Calibri"/>
          <w:color w:val="333333"/>
          <w:sz w:val="22"/>
          <w:szCs w:val="22"/>
        </w:rPr>
        <w:t xml:space="preserve">HealthMax is the current market leader in the highly competitive FMCG shampoo category. This report synthesizes external retailer data with internal financials, applying Net Revenue Management (NRM) principles across pricing, promotions, and product mix to deliver clear strategic recommendations for revenue and profit maximization.</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8"/>
              <w:left w:val="single" w:color="D9D9D9" w:sz="4"/>
              <w:bottom w:val="single" w:color="D9D9D9" w:sz="4"/>
              <w:right w:val="single" w:color="D9D9D9" w:sz="4"/>
            </w:tcBorders>
            <w:shd w:fill="EEF4FB" w:val="clear"/>
            <w:tcMar>
              <w:top w:type="dxa" w:w="120"/>
              <w:left w:type="dxa" w:w="160"/>
              <w:bottom w:type="dxa" w:w="120"/>
              <w:right w:type="dxa" w:w="160"/>
            </w:tcMar>
            <w:vAlign w:val="center"/>
          </w:tcPr>
          <w:p>
            <w:pPr>
              <w:spacing w:after="40" w:before="0"/>
              <w:jc w:val="center"/>
            </w:pPr>
            <w:r>
              <w:rPr>
                <w:rFonts w:ascii="Calibri" w:cs="Calibri" w:eastAsia="Calibri" w:hAnsi="Calibri"/>
                <w:b/>
                <w:bCs/>
                <w:color w:val="2E75B6"/>
                <w:sz w:val="40"/>
                <w:szCs w:val="40"/>
              </w:rPr>
              <w:t xml:space="preserve">$140.96M</w:t>
            </w:r>
          </w:p>
          <w:p>
            <w:pPr>
              <w:spacing w:after="20" w:before="0"/>
              <w:jc w:val="center"/>
            </w:pPr>
            <w:r>
              <w:rPr>
                <w:rFonts w:ascii="Calibri" w:cs="Calibri" w:eastAsia="Calibri" w:hAnsi="Calibri"/>
                <w:b/>
                <w:bCs/>
                <w:color w:val="1F3864"/>
                <w:sz w:val="20"/>
                <w:szCs w:val="20"/>
              </w:rPr>
              <w:t xml:space="preserve">Total Market (MAT Mar 2023)</w:t>
            </w:r>
          </w:p>
          <w:p>
            <w:pPr>
              <w:spacing w:after="0" w:before="0"/>
              <w:jc w:val="center"/>
            </w:pPr>
            <w:r>
              <w:rPr>
                <w:rFonts w:ascii="Calibri" w:cs="Calibri" w:eastAsia="Calibri" w:hAnsi="Calibri"/>
                <w:i/>
                <w:iCs/>
                <w:color w:val="666666"/>
                <w:sz w:val="18"/>
                <w:szCs w:val="18"/>
              </w:rPr>
              <w:t xml:space="preserve">Shampoo Category</w:t>
            </w:r>
          </w:p>
        </w:tc>
        <w:tc>
          <w:tcPr>
            <w:tcW w:type="dxa" w:w="2340"/>
            <w:tcBorders>
              <w:top w:val="single" w:color="2E75B6" w:sz="8"/>
              <w:left w:val="single" w:color="D9D9D9" w:sz="4"/>
              <w:bottom w:val="single" w:color="D9D9D9" w:sz="4"/>
              <w:right w:val="single" w:color="D9D9D9" w:sz="4"/>
            </w:tcBorders>
            <w:shd w:fill="EEF4FB" w:val="clear"/>
            <w:tcMar>
              <w:top w:type="dxa" w:w="120"/>
              <w:left w:type="dxa" w:w="160"/>
              <w:bottom w:type="dxa" w:w="120"/>
              <w:right w:type="dxa" w:w="160"/>
            </w:tcMar>
            <w:vAlign w:val="center"/>
          </w:tcPr>
          <w:p>
            <w:pPr>
              <w:spacing w:after="40" w:before="0"/>
              <w:jc w:val="center"/>
            </w:pPr>
            <w:r>
              <w:rPr>
                <w:rFonts w:ascii="Calibri" w:cs="Calibri" w:eastAsia="Calibri" w:hAnsi="Calibri"/>
                <w:b/>
                <w:bCs/>
                <w:color w:val="2E75B6"/>
                <w:sz w:val="40"/>
                <w:szCs w:val="40"/>
              </w:rPr>
              <w:t xml:space="preserve">68.5%</w:t>
            </w:r>
          </w:p>
          <w:p>
            <w:pPr>
              <w:spacing w:after="20" w:before="0"/>
              <w:jc w:val="center"/>
            </w:pPr>
            <w:r>
              <w:rPr>
                <w:rFonts w:ascii="Calibri" w:cs="Calibri" w:eastAsia="Calibri" w:hAnsi="Calibri"/>
                <w:b/>
                <w:bCs/>
                <w:color w:val="1F3864"/>
                <w:sz w:val="20"/>
                <w:szCs w:val="20"/>
              </w:rPr>
              <w:t xml:space="preserve">Portfolio Gross Margin</w:t>
            </w:r>
          </w:p>
          <w:p>
            <w:pPr>
              <w:spacing w:after="0" w:before="0"/>
              <w:jc w:val="center"/>
            </w:pPr>
            <w:r>
              <w:rPr>
                <w:rFonts w:ascii="Calibri" w:cs="Calibri" w:eastAsia="Calibri" w:hAnsi="Calibri"/>
                <w:i/>
                <w:iCs/>
                <w:color w:val="666666"/>
                <w:sz w:val="18"/>
                <w:szCs w:val="18"/>
              </w:rPr>
              <w:t xml:space="preserve">Highly efficient</w:t>
            </w:r>
          </w:p>
        </w:tc>
        <w:tc>
          <w:tcPr>
            <w:tcW w:type="dxa" w:w="2340"/>
            <w:tcBorders>
              <w:top w:val="single" w:color="2E75B6" w:sz="8"/>
              <w:left w:val="single" w:color="D9D9D9" w:sz="4"/>
              <w:bottom w:val="single" w:color="D9D9D9" w:sz="4"/>
              <w:right w:val="single" w:color="D9D9D9" w:sz="4"/>
            </w:tcBorders>
            <w:shd w:fill="EEF4FB" w:val="clear"/>
            <w:tcMar>
              <w:top w:type="dxa" w:w="120"/>
              <w:left w:type="dxa" w:w="160"/>
              <w:bottom w:type="dxa" w:w="120"/>
              <w:right w:type="dxa" w:w="160"/>
            </w:tcMar>
            <w:vAlign w:val="center"/>
          </w:tcPr>
          <w:p>
            <w:pPr>
              <w:spacing w:after="40" w:before="0"/>
              <w:jc w:val="center"/>
            </w:pPr>
            <w:r>
              <w:rPr>
                <w:rFonts w:ascii="Calibri" w:cs="Calibri" w:eastAsia="Calibri" w:hAnsi="Calibri"/>
                <w:b/>
                <w:bCs/>
                <w:color w:val="2E75B6"/>
                <w:sz w:val="40"/>
                <w:szCs w:val="40"/>
              </w:rPr>
              <w:t xml:space="preserve">+25.91%</w:t>
            </w:r>
          </w:p>
          <w:p>
            <w:pPr>
              <w:spacing w:after="20" w:before="0"/>
              <w:jc w:val="center"/>
            </w:pPr>
            <w:r>
              <w:rPr>
                <w:rFonts w:ascii="Calibri" w:cs="Calibri" w:eastAsia="Calibri" w:hAnsi="Calibri"/>
                <w:b/>
                <w:bCs/>
                <w:color w:val="1F3864"/>
                <w:sz w:val="20"/>
                <w:szCs w:val="20"/>
              </w:rPr>
              <w:t xml:space="preserve">HealthMax YoY Growth 2022</w:t>
            </w:r>
          </w:p>
          <w:p>
            <w:pPr>
              <w:spacing w:after="0" w:before="0"/>
              <w:jc w:val="center"/>
            </w:pPr>
            <w:r>
              <w:rPr>
                <w:rFonts w:ascii="Calibri" w:cs="Calibri" w:eastAsia="Calibri" w:hAnsi="Calibri"/>
                <w:i/>
                <w:iCs/>
                <w:color w:val="666666"/>
                <w:sz w:val="18"/>
                <w:szCs w:val="18"/>
              </w:rPr>
              <w:t xml:space="preserve">Peak growth year</w:t>
            </w:r>
          </w:p>
        </w:tc>
        <w:tc>
          <w:tcPr>
            <w:tcW w:type="dxa" w:w="2340"/>
            <w:tcBorders>
              <w:top w:val="single" w:color="2E75B6" w:sz="8"/>
              <w:left w:val="single" w:color="D9D9D9" w:sz="4"/>
              <w:bottom w:val="single" w:color="D9D9D9" w:sz="4"/>
              <w:right w:val="single" w:color="D9D9D9" w:sz="4"/>
            </w:tcBorders>
            <w:shd w:fill="EEF4FB" w:val="clear"/>
            <w:tcMar>
              <w:top w:type="dxa" w:w="120"/>
              <w:left w:type="dxa" w:w="160"/>
              <w:bottom w:type="dxa" w:w="120"/>
              <w:right w:type="dxa" w:w="160"/>
            </w:tcMar>
            <w:vAlign w:val="center"/>
          </w:tcPr>
          <w:p>
            <w:pPr>
              <w:spacing w:after="40" w:before="0"/>
              <w:jc w:val="center"/>
            </w:pPr>
            <w:r>
              <w:rPr>
                <w:rFonts w:ascii="Calibri" w:cs="Calibri" w:eastAsia="Calibri" w:hAnsi="Calibri"/>
                <w:b/>
                <w:bCs/>
                <w:color w:val="2E75B6"/>
                <w:sz w:val="40"/>
                <w:szCs w:val="40"/>
              </w:rPr>
              <w:t xml:space="preserve">1,161%</w:t>
            </w:r>
          </w:p>
          <w:p>
            <w:pPr>
              <w:spacing w:after="20" w:before="0"/>
              <w:jc w:val="center"/>
            </w:pPr>
            <w:r>
              <w:rPr>
                <w:rFonts w:ascii="Calibri" w:cs="Calibri" w:eastAsia="Calibri" w:hAnsi="Calibri"/>
                <w:b/>
                <w:bCs/>
                <w:color w:val="1F3864"/>
                <w:sz w:val="20"/>
                <w:szCs w:val="20"/>
              </w:rPr>
              <w:t xml:space="preserve">Best Promo ROI</w:t>
            </w:r>
          </w:p>
          <w:p>
            <w:pPr>
              <w:spacing w:after="0" w:before="0"/>
              <w:jc w:val="center"/>
            </w:pPr>
            <w:r>
              <w:rPr>
                <w:rFonts w:ascii="Calibri" w:cs="Calibri" w:eastAsia="Calibri" w:hAnsi="Calibri"/>
                <w:i/>
                <w:iCs/>
                <w:color w:val="666666"/>
                <w:sz w:val="18"/>
                <w:szCs w:val="18"/>
              </w:rPr>
              <w:t xml:space="preserve">Buy 2 Get 1 Free</w:t>
            </w:r>
          </w:p>
        </w:tc>
      </w:tr>
    </w:tbl>
    <w:p>
      <w:pPr>
        <w:spacing w:after="0" w:before="200"/>
      </w:pPr>
    </w:p>
    <w:p>
      <w:pPr>
        <w:spacing w:after="100" w:before="200"/>
        <w:jc w:val="center"/>
      </w:pPr>
      <w:r>
        <w:drawing>
          <wp:inline xmlns:wp="http://schemas.openxmlformats.org/drawingml/2006/wordprocessingDrawing">
            <wp:extent cx="7589520" cy="5061261"/>
            <wp:docPr id="100" name="dashboard"/>
            <a:graphic xmlns:a="http://schemas.openxmlformats.org/drawingml/2006/main">
              <a:graphicData uri="http://schemas.openxmlformats.org/drawingml/2006/picture">
                <pic:pic xmlns:pic="http://schemas.openxmlformats.org/drawingml/2006/picture">
                  <pic:nvPicPr>
                    <pic:cNvPr id="100" name="dashboard"/>
                    <pic:cNvPicPr/>
                  </pic:nvPicPr>
                  <pic:blipFill>
                    <a:blip xmlns:r="http://schemas.openxmlformats.org/officeDocument/2006/relationships" r:embed="rId16"/>
                    <a:stretch>
                      <a:fillRect/>
                    </a:stretch>
                  </pic:blipFill>
                  <pic:spPr>
                    <a:xfrm>
                      <a:off x="0" y="0"/>
                      <a:ext cx="7589520" cy="5061261"/>
                    </a:xfrm>
                    <a:prstGeom prst="rect">
                      <a:avLst/>
                    </a:prstGeom>
                  </pic:spPr>
                </pic:pic>
              </a:graphicData>
            </a:graphic>
          </wp:inline>
        </w:drawing>
      </w:r>
    </w:p>
    <w:p>
      <w:pPr>
        <w:spacing w:after="240" w:before="0"/>
        <w:jc w:val="center"/>
      </w:pPr>
      <w:r>
        <w:rPr>
          <w:rFonts w:ascii="Calibri" w:hAnsi="Calibri"/>
          <w:i/>
          <w:color w:val="666666"/>
          <w:sz w:val="18"/>
        </w:rPr>
        <w:t>Figure 7: HealthMax Executive Dashboard — Market &amp; NRM Insights</w:t>
      </w:r>
    </w:p>
    <w:p>
      <w:pPr>
        <w:pStyle w:val="Heading1"/>
        <w:pBdr>
          <w:bottom w:val="single" w:color="2E75B6" w:sz="8" w:space="4"/>
        </w:pBdr>
        <w:spacing w:after="180" w:before="360"/>
      </w:pPr>
      <w:r>
        <w:rPr>
          <w:rFonts w:ascii="Calibri" w:cs="Calibri" w:eastAsia="Calibri" w:hAnsi="Calibri"/>
          <w:b/>
          <w:bCs/>
          <w:color w:val="1F3864"/>
          <w:sz w:val="32"/>
          <w:szCs w:val="32"/>
        </w:rPr>
        <w:t xml:space="preserve">1. Business Context &amp; Objective</w:t>
      </w:r>
    </w:p>
    <w:p>
      <w:pPr>
        <w:spacing w:after="80" w:before="60"/>
      </w:pPr>
      <w:r>
        <w:rPr>
          <w:rFonts w:ascii="Calibri" w:cs="Calibri" w:eastAsia="Calibri" w:hAnsi="Calibri"/>
          <w:b/>
          <w:bCs/>
          <w:color w:val="1F3864"/>
          <w:sz w:val="22"/>
          <w:szCs w:val="22"/>
        </w:rPr>
        <w:t xml:space="preserve">Our Position: </w:t>
      </w:r>
      <w:r>
        <w:rPr>
          <w:rFonts w:ascii="Calibri" w:cs="Calibri" w:eastAsia="Calibri" w:hAnsi="Calibri"/>
          <w:color w:val="000000"/>
          <w:sz w:val="22"/>
          <w:szCs w:val="22"/>
        </w:rPr>
        <w:t xml:space="preserve">HealthMax is the current market leader in the competitive shampoo category.</w:t>
      </w:r>
    </w:p>
    <w:p>
      <w:pPr>
        <w:spacing w:after="80" w:before="60"/>
      </w:pPr>
      <w:r>
        <w:rPr>
          <w:rFonts w:ascii="Calibri" w:cs="Calibri" w:eastAsia="Calibri" w:hAnsi="Calibri"/>
          <w:b/>
          <w:bCs/>
          <w:color w:val="1F3864"/>
          <w:sz w:val="22"/>
          <w:szCs w:val="22"/>
        </w:rPr>
        <w:t xml:space="preserve">The Challenge: </w:t>
      </w:r>
      <w:r>
        <w:rPr>
          <w:rFonts w:ascii="Calibri" w:cs="Calibri" w:eastAsia="Calibri" w:hAnsi="Calibri"/>
          <w:color w:val="000000"/>
          <w:sz w:val="22"/>
          <w:szCs w:val="22"/>
        </w:rPr>
        <w:t xml:space="preserve">In a high-volume, low-margin FMCG environment, maintaining market leadership requires constant optimization. We analyzed external retailer data alongside internal financials to uncover strategic growth opportunities.</w:t>
      </w:r>
    </w:p>
    <w:p>
      <w:pPr>
        <w:spacing w:after="80" w:before="60"/>
      </w:pPr>
      <w:r>
        <w:rPr>
          <w:rFonts w:ascii="Calibri" w:cs="Calibri" w:eastAsia="Calibri" w:hAnsi="Calibri"/>
          <w:b/>
          <w:bCs/>
          <w:color w:val="1F3864"/>
          <w:sz w:val="22"/>
          <w:szCs w:val="22"/>
        </w:rPr>
        <w:t xml:space="preserve">The Objective: </w:t>
      </w:r>
      <w:r>
        <w:rPr>
          <w:rFonts w:ascii="Calibri" w:cs="Calibri" w:eastAsia="Calibri" w:hAnsi="Calibri"/>
          <w:color w:val="000000"/>
          <w:sz w:val="22"/>
          <w:szCs w:val="22"/>
        </w:rPr>
        <w:t xml:space="preserve">Apply Net Revenue Management (NRM) principles to evaluate pricing, promotions, and product mix — ultimately delivering actionable recommendations to maximize Net Sales and Gross Profit.</w:t>
      </w:r>
    </w:p>
    <w:p>
      <w:pPr>
        <w:pStyle w:val="Heading1"/>
        <w:pBdr>
          <w:bottom w:val="single" w:color="2E75B6" w:sz="8" w:space="4"/>
        </w:pBdr>
        <w:spacing w:after="180" w:before="360"/>
      </w:pPr>
      <w:r>
        <w:rPr>
          <w:rFonts w:ascii="Calibri" w:cs="Calibri" w:eastAsia="Calibri" w:hAnsi="Calibri"/>
          <w:b/>
          <w:bCs/>
          <w:color w:val="1F3864"/>
          <w:sz w:val="32"/>
          <w:szCs w:val="32"/>
        </w:rPr>
        <w:t xml:space="preserve">2. Data Gathering &amp; Integration</w:t>
      </w:r>
    </w:p>
    <w:p>
      <w:pPr>
        <w:spacing w:after="100" w:before="60"/>
        <w:jc w:val="left"/>
      </w:pPr>
      <w:r>
        <w:rPr>
          <w:rFonts w:ascii="Calibri" w:cs="Calibri" w:eastAsia="Calibri" w:hAnsi="Calibri"/>
          <w:color w:val="333333"/>
          <w:sz w:val="22"/>
          <w:szCs w:val="22"/>
        </w:rPr>
        <w:t xml:space="preserve">To build a holistic view of the market, we synthesized four key data streams: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Data Source</w:t>
            </w:r>
          </w:p>
        </w:tc>
        <w:tc>
          <w:tcPr>
            <w:tcW w:type="dxa" w:w="496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Description</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External Retailer Data</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4,400+ records tracking competitor &amp; HealthMax sales (Units &amp; Value) across multiple regions, 2018–2023</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Internal Sales Data</w:t>
            </w:r>
          </w:p>
        </w:tc>
        <w:tc>
          <w:tcPr>
            <w:tcW w:type="dxa" w:w="4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Proprietary financials: Net Price, Retail Price, COGS, and 2022 unit volumes for Shinez &amp; Starbust brands</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Promotion Analysis</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Campaign costs and sales data for three major promotional mechanisms executed for the Shinez brand</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New Product Launch Data</w:t>
            </w:r>
          </w:p>
        </w:tc>
        <w:tc>
          <w:tcPr>
            <w:tcW w:type="dxa" w:w="4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Estimated market share and production costs for two pipeline products: HerbEssentials &amp; Herbashine</w:t>
            </w:r>
          </w:p>
        </w:tc>
      </w:tr>
    </w:tbl>
    <w:p>
      <w:pPr>
        <w:pStyle w:val="Heading1"/>
        <w:pBdr>
          <w:bottom w:val="single" w:color="2E75B6" w:sz="8" w:space="4"/>
        </w:pBdr>
        <w:spacing w:after="180" w:before="360"/>
      </w:pPr>
      <w:r>
        <w:rPr>
          <w:rFonts w:ascii="Calibri" w:cs="Calibri" w:eastAsia="Calibri" w:hAnsi="Calibri"/>
          <w:b/>
          <w:bCs/>
          <w:color w:val="1F3864"/>
          <w:sz w:val="32"/>
          <w:szCs w:val="32"/>
        </w:rPr>
        <w:t xml:space="preserve">3. Methodology &amp; Calculations</w:t>
      </w:r>
    </w:p>
    <w:p>
      <w:pPr>
        <w:pStyle w:val="ListParagraph"/>
        <w:numPr>
          <w:ilvl w:val="0"/>
          <w:numId w:val="2"/>
        </w:numPr>
        <w:spacing w:after="80" w:before="60"/>
      </w:pPr>
      <w:r>
        <w:rPr>
          <w:rFonts w:ascii="Calibri" w:cs="Calibri" w:eastAsia="Calibri" w:hAnsi="Calibri"/>
          <w:color w:val="333333"/>
          <w:sz w:val="22"/>
          <w:szCs w:val="22"/>
        </w:rPr>
        <w:t xml:space="preserve">Data Cleansing: Standardized European number formats and reconciled missing decimal values in pricing/COGS data for financial accuracy.</w:t>
      </w:r>
    </w:p>
    <w:p>
      <w:pPr>
        <w:pStyle w:val="ListParagraph"/>
        <w:numPr>
          <w:ilvl w:val="0"/>
          <w:numId w:val="2"/>
        </w:numPr>
        <w:spacing w:after="80" w:before="60"/>
      </w:pPr>
      <w:r>
        <w:rPr>
          <w:rFonts w:ascii="Calibri" w:cs="Calibri" w:eastAsia="Calibri" w:hAnsi="Calibri"/>
          <w:color w:val="333333"/>
          <w:sz w:val="22"/>
          <w:szCs w:val="22"/>
        </w:rPr>
        <w:t xml:space="preserve">Time-Series KPIs: Engineered dynamic Excel models using SUMIFS to calculate YTD and Moving Annual Total (MAT) metrics — stripping seasonality to track true performance.</w:t>
      </w:r>
    </w:p>
    <w:p>
      <w:pPr>
        <w:pStyle w:val="ListParagraph"/>
        <w:numPr>
          <w:ilvl w:val="0"/>
          <w:numId w:val="2"/>
        </w:numPr>
        <w:spacing w:after="80" w:before="60"/>
      </w:pPr>
      <w:r>
        <w:rPr>
          <w:rFonts w:ascii="Calibri" w:cs="Calibri" w:eastAsia="Calibri" w:hAnsi="Calibri"/>
          <w:color w:val="333333"/>
          <w:sz w:val="22"/>
          <w:szCs w:val="22"/>
        </w:rPr>
        <w:t xml:space="preserve">Profitability Modeling: Calculated Net Sales, Total Gross Profit, and Gross Margins at the SKU level.</w:t>
      </w:r>
    </w:p>
    <w:p>
      <w:pPr>
        <w:pStyle w:val="ListParagraph"/>
        <w:numPr>
          <w:ilvl w:val="0"/>
          <w:numId w:val="2"/>
        </w:numPr>
        <w:spacing w:after="80" w:before="60"/>
      </w:pPr>
      <w:r>
        <w:rPr>
          <w:rFonts w:ascii="Calibri" w:cs="Calibri" w:eastAsia="Calibri" w:hAnsi="Calibri"/>
          <w:color w:val="333333"/>
          <w:sz w:val="22"/>
          <w:szCs w:val="22"/>
        </w:rPr>
        <w:t xml:space="preserve">Promotional ROI: Modeled baseline sales by averaging pre- and post-promo months to isolate pure revenue uplift and calculate campaign ROI.</w:t>
      </w:r>
    </w:p>
    <w:p>
      <w:pPr>
        <w:pStyle w:val="Heading1"/>
        <w:pBdr>
          <w:bottom w:val="single" w:color="2E75B6" w:sz="8" w:space="4"/>
        </w:pBdr>
        <w:spacing w:after="180" w:before="360"/>
      </w:pPr>
      <w:r>
        <w:rPr>
          <w:rFonts w:ascii="Calibri" w:cs="Calibri" w:eastAsia="Calibri" w:hAnsi="Calibri"/>
          <w:b/>
          <w:bCs/>
          <w:color w:val="1F3864"/>
          <w:sz w:val="32"/>
          <w:szCs w:val="32"/>
        </w:rPr>
        <w:t xml:space="preserve">4. Key Findings &amp; Strategic Insights</w:t>
      </w:r>
    </w:p>
    <w:p>
      <w:pPr>
        <w:pStyle w:val="Heading2"/>
        <w:spacing w:after="120" w:before="240"/>
      </w:pPr>
      <w:r>
        <w:rPr>
          <w:rFonts w:ascii="Calibri" w:cs="Calibri" w:eastAsia="Calibri" w:hAnsi="Calibri"/>
          <w:b/>
          <w:bCs/>
          <w:color w:val="2E75B6"/>
          <w:sz w:val="26"/>
          <w:szCs w:val="26"/>
        </w:rPr>
        <w:t xml:space="preserve">A. Overall Market Performance</w:t>
      </w:r>
    </w:p>
    <w:p>
      <w:pPr>
        <w:spacing w:after="200" w:before="20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after="200" w:before="0"/>
        <w:jc w:val="center"/>
      </w:pPr>
      <w:r>
        <w:rPr>
          <w:rFonts w:ascii="Calibri" w:cs="Calibri" w:eastAsia="Calibri" w:hAnsi="Calibri"/>
          <w:i/>
          <w:iCs/>
          <w:color w:val="666666"/>
          <w:sz w:val="18"/>
          <w:szCs w:val="18"/>
        </w:rPr>
        <w:t xml:space="preserve">Figure 1: HealthMax YoY Growth — Portfolio vs Shinez Brand (2022)</w:t>
      </w:r>
    </w:p>
    <w:p>
      <w:pPr>
        <w:spacing w:after="80" w:before="60"/>
      </w:pPr>
      <w:r>
        <w:rPr>
          <w:rFonts w:ascii="Calibri" w:cs="Calibri" w:eastAsia="Calibri" w:hAnsi="Calibri"/>
          <w:b/>
          <w:bCs/>
          <w:color w:val="1F3864"/>
          <w:sz w:val="22"/>
          <w:szCs w:val="22"/>
        </w:rPr>
        <w:t xml:space="preserve">Peak Growth: </w:t>
      </w:r>
      <w:r>
        <w:rPr>
          <w:rFonts w:ascii="Calibri" w:cs="Calibri" w:eastAsia="Calibri" w:hAnsi="Calibri"/>
          <w:color w:val="000000"/>
          <w:sz w:val="22"/>
          <w:szCs w:val="22"/>
        </w:rPr>
        <w:t xml:space="preserve">HealthMax achieved its strongest YoY growth in 2022, surging by 25.91%, driven by the Shinez brand (+73% YoY).</w:t>
      </w:r>
    </w:p>
    <w:p>
      <w:pPr>
        <w:spacing w:after="80" w:before="60"/>
      </w:pPr>
      <w:r>
        <w:rPr>
          <w:rFonts w:ascii="Calibri" w:cs="Calibri" w:eastAsia="Calibri" w:hAnsi="Calibri"/>
          <w:b/>
          <w:bCs/>
          <w:color w:val="1F3864"/>
          <w:sz w:val="22"/>
          <w:szCs w:val="22"/>
        </w:rPr>
        <w:t xml:space="preserve">Category Valuation: </w:t>
      </w:r>
      <w:r>
        <w:rPr>
          <w:rFonts w:ascii="Calibri" w:cs="Calibri" w:eastAsia="Calibri" w:hAnsi="Calibri"/>
          <w:color w:val="000000"/>
          <w:sz w:val="22"/>
          <w:szCs w:val="22"/>
        </w:rPr>
        <w:t xml:space="preserve">Total market turnover for the shampoo category (MAT as of March 2023): $140.96 Million.</w:t>
      </w:r>
    </w:p>
    <w:p>
      <w:pPr>
        <w:spacing w:after="80" w:before="60"/>
      </w:pPr>
      <w:r>
        <w:rPr>
          <w:rFonts w:ascii="Calibri" w:cs="Calibri" w:eastAsia="Calibri" w:hAnsi="Calibri"/>
          <w:b/>
          <w:bCs/>
          <w:color w:val="1F3864"/>
          <w:sz w:val="22"/>
          <w:szCs w:val="22"/>
        </w:rPr>
        <w:t xml:space="preserve">Regional Strengths: </w:t>
      </w:r>
      <w:r>
        <w:rPr>
          <w:rFonts w:ascii="Calibri" w:cs="Calibri" w:eastAsia="Calibri" w:hAnsi="Calibri"/>
          <w:color w:val="000000"/>
          <w:sz w:val="22"/>
          <w:szCs w:val="22"/>
        </w:rPr>
        <w:t xml:space="preserve">Starbust brand holds its strongest market share position in the South Region (21.62%).</w:t>
      </w:r>
    </w:p>
    <w:p>
      <w:pPr>
        <w:pBdr>
          <w:bottom w:val="single" w:color="D9D9D9" w:sz="4" w:space="1"/>
        </w:pBdr>
        <w:spacing w:after="80" w:before="80"/>
      </w:pPr>
      <w:r>
        <w:rPr>
          <w:sz w:val="4"/>
          <w:szCs w:val="4"/>
        </w:rPr>
        <w:t xml:space="preserve"/>
      </w:r>
    </w:p>
    <w:p>
      <w:pPr>
        <w:pStyle w:val="Heading2"/>
        <w:spacing w:after="120" w:before="240"/>
      </w:pPr>
      <w:r>
        <w:rPr>
          <w:rFonts w:ascii="Calibri" w:cs="Calibri" w:eastAsia="Calibri" w:hAnsi="Calibri"/>
          <w:b/>
          <w:bCs/>
          <w:color w:val="2E75B6"/>
          <w:sz w:val="26"/>
          <w:szCs w:val="26"/>
        </w:rPr>
        <w:t xml:space="preserve">B. Competitor Strategy — The FreshCo Opportunity</w:t>
      </w:r>
    </w:p>
    <w:p>
      <w:pPr>
        <w:spacing w:after="200" w:before="20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71750"/>
                    </a:xfrm>
                    <a:prstGeom prst="rect">
                      <a:avLst/>
                    </a:prstGeom>
                  </pic:spPr>
                </pic:pic>
              </a:graphicData>
            </a:graphic>
          </wp:inline>
        </w:drawing>
      </w:r>
    </w:p>
    <w:p>
      <w:pPr>
        <w:spacing w:after="200" w:before="0"/>
        <w:jc w:val="center"/>
      </w:pPr>
      <w:r>
        <w:rPr>
          <w:rFonts w:ascii="Calibri" w:cs="Calibri" w:eastAsia="Calibri" w:hAnsi="Calibri"/>
          <w:i/>
          <w:iCs/>
          <w:color w:val="666666"/>
          <w:sz w:val="18"/>
          <w:szCs w:val="18"/>
        </w:rPr>
        <w:t xml:space="preserve">Figure 2: FreshCo Industries — Market Share Erosion After Shifting to Digital-Only Strategy</w:t>
      </w:r>
    </w:p>
    <w:p>
      <w:pPr>
        <w:spacing w:after="80" w:before="60"/>
      </w:pPr>
      <w:r>
        <w:rPr>
          <w:rFonts w:ascii="Calibri" w:cs="Calibri" w:eastAsia="Calibri" w:hAnsi="Calibri"/>
          <w:b/>
          <w:bCs/>
          <w:color w:val="1F3864"/>
          <w:sz w:val="22"/>
          <w:szCs w:val="22"/>
        </w:rPr>
        <w:t xml:space="preserve">Insight: </w:t>
      </w:r>
      <w:r>
        <w:rPr>
          <w:rFonts w:ascii="Calibri" w:cs="Calibri" w:eastAsia="Calibri" w:hAnsi="Calibri"/>
          <w:color w:val="000000"/>
          <w:sz w:val="22"/>
          <w:szCs w:val="22"/>
        </w:rPr>
        <w:t xml:space="preserve">FreshCo Industries recently shifted their entire marketing budget from TV to digital advertising.</w:t>
      </w:r>
    </w:p>
    <w:p>
      <w:pPr>
        <w:spacing w:after="80" w:before="60"/>
      </w:pPr>
      <w:r>
        <w:rPr>
          <w:rFonts w:ascii="Calibri" w:cs="Calibri" w:eastAsia="Calibri" w:hAnsi="Calibri"/>
          <w:b/>
          <w:bCs/>
          <w:color w:val="1F3864"/>
          <w:sz w:val="22"/>
          <w:szCs w:val="22"/>
        </w:rPr>
        <w:t xml:space="preserve">Impact: </w:t>
      </w:r>
      <w:r>
        <w:rPr>
          <w:rFonts w:ascii="Calibri" w:cs="Calibri" w:eastAsia="Calibri" w:hAnsi="Calibri"/>
          <w:color w:val="000000"/>
          <w:sz w:val="22"/>
          <w:szCs w:val="22"/>
        </w:rPr>
        <w:t xml:space="preserve">Their market share dropped from a 12-month MAT average of 30% → 28% YTD average → 26% low in March 2023.</w:t>
      </w:r>
    </w:p>
    <w:p>
      <w:pPr>
        <w:pBdr>
          <w:left w:val="single" w:color="ED7D31" w:sz="16" w:space="8"/>
        </w:pBdr>
        <w:shd w:fill="FFF3CD" w:val="clear"/>
        <w:spacing w:after="120" w:before="120"/>
      </w:pPr>
      <w:r>
        <w:rPr>
          <w:rFonts w:ascii="Calibri" w:cs="Calibri" w:eastAsia="Calibri" w:hAnsi="Calibri"/>
          <w:b/>
          <w:bCs/>
          <w:color w:val="8B4513"/>
          <w:sz w:val="22"/>
          <w:szCs w:val="22"/>
        </w:rPr>
        <w:t xml:space="preserve">⚠  Recommendation: </w:t>
      </w:r>
      <w:r>
        <w:rPr>
          <w:rFonts w:ascii="Calibri" w:cs="Calibri" w:eastAsia="Calibri" w:hAnsi="Calibri"/>
          <w:color w:val="5D4037"/>
          <w:sz w:val="22"/>
          <w:szCs w:val="22"/>
        </w:rPr>
        <w:t xml:space="preserve">Do NOT follow FreshCo into a digital-only strategy. Maintain our omnichannel presence to capture the market share they are actively losing.</w:t>
      </w:r>
    </w:p>
    <w:p>
      <w:pPr>
        <w:pBdr>
          <w:bottom w:val="single" w:color="D9D9D9" w:sz="4" w:space="1"/>
        </w:pBdr>
        <w:spacing w:after="80" w:before="80"/>
      </w:pPr>
      <w:r>
        <w:rPr>
          <w:sz w:val="4"/>
          <w:szCs w:val="4"/>
        </w:rPr>
        <w:t xml:space="preserve"/>
      </w:r>
    </w:p>
    <w:p>
      <w:pPr>
        <w:pStyle w:val="Heading2"/>
        <w:spacing w:after="120" w:before="240"/>
      </w:pPr>
      <w:r>
        <w:rPr>
          <w:rFonts w:ascii="Calibri" w:cs="Calibri" w:eastAsia="Calibri" w:hAnsi="Calibri"/>
          <w:b/>
          <w:bCs/>
          <w:color w:val="2E75B6"/>
          <w:sz w:val="26"/>
          <w:szCs w:val="26"/>
        </w:rPr>
        <w:t xml:space="preserve">C. Portfolio Profitability (NRM)</w:t>
      </w:r>
    </w:p>
    <w:p>
      <w:pPr>
        <w:spacing w:after="200" w:before="200"/>
        <w:jc w:val="center"/>
      </w:pPr>
      <w:r>
        <w:drawing>
          <wp:inline distT="0" distB="0" distL="0" distR="0">
            <wp:extent cx="2952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1905000"/>
                    </a:xfrm>
                    <a:prstGeom prst="rect">
                      <a:avLst/>
                    </a:prstGeom>
                  </pic:spPr>
                </pic:pic>
              </a:graphicData>
            </a:graphic>
          </wp:inline>
        </w:drawing>
      </w:r>
    </w:p>
    <w:p>
      <w:pPr>
        <w:spacing w:after="200" w:before="0"/>
        <w:jc w:val="center"/>
      </w:pPr>
      <w:r>
        <w:rPr>
          <w:rFonts w:ascii="Calibri" w:cs="Calibri" w:eastAsia="Calibri" w:hAnsi="Calibri"/>
          <w:i/>
          <w:iCs/>
          <w:color w:val="666666"/>
          <w:sz w:val="18"/>
          <w:szCs w:val="18"/>
        </w:rPr>
        <w:t xml:space="preserve">Figure 3: HealthMax Portfolio Gross Margin</w:t>
      </w:r>
    </w:p>
    <w:p>
      <w:pPr>
        <w:spacing w:after="200" w:before="200"/>
        <w:jc w:val="center"/>
      </w:pPr>
      <w:r>
        <w:drawing>
          <wp:inline distT="0" distB="0" distL="0" distR="0">
            <wp:extent cx="3810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571750"/>
                    </a:xfrm>
                    <a:prstGeom prst="rect">
                      <a:avLst/>
                    </a:prstGeom>
                  </pic:spPr>
                </pic:pic>
              </a:graphicData>
            </a:graphic>
          </wp:inline>
        </w:drawing>
      </w:r>
    </w:p>
    <w:p>
      <w:pPr>
        <w:spacing w:after="200" w:before="0"/>
        <w:jc w:val="center"/>
      </w:pPr>
      <w:r>
        <w:rPr>
          <w:rFonts w:ascii="Calibri" w:cs="Calibri" w:eastAsia="Calibri" w:hAnsi="Calibri"/>
          <w:i/>
          <w:iCs/>
          <w:color w:val="666666"/>
          <w:sz w:val="18"/>
          <w:szCs w:val="18"/>
        </w:rPr>
        <w:t xml:space="preserve">Figure 4: Illustrative Revenue Mix — Shinez vs Starbust</w:t>
      </w:r>
    </w:p>
    <w:p>
      <w:pPr>
        <w:spacing w:after="100" w:before="60"/>
        <w:jc w:val="left"/>
      </w:pPr>
      <w:r>
        <w:rPr>
          <w:rFonts w:ascii="Calibri" w:cs="Calibri" w:eastAsia="Calibri" w:hAnsi="Calibri"/>
          <w:color w:val="333333"/>
          <w:sz w:val="22"/>
          <w:szCs w:val="22"/>
        </w:rPr>
        <w:t xml:space="preserve">The HealthMax portfolio demonstrates exceptional financial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Metric</w:t>
            </w:r>
          </w:p>
        </w:tc>
        <w:tc>
          <w:tcPr>
            <w:tcW w:type="dxa" w:w="496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Detail</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Portfolio Gross Margin</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68.5% — industry-leading efficiency</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Total Gross Profit (2022)</w:t>
            </w:r>
          </w:p>
        </w:tc>
        <w:tc>
          <w:tcPr>
            <w:tcW w:type="dxa" w:w="4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Over $14 Million</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Volume Champion</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Starbust Ultra Soft 100ML — 1.15M units (critical for market penetration)</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Profit Engine (Hidden Gem)</w:t>
            </w:r>
          </w:p>
        </w:tc>
        <w:tc>
          <w:tcPr>
            <w:tcW w:type="dxa" w:w="4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Shinez Repair 200ML — 71.67% GM, $4.30 Gross Profit per unit (highest in portfolio)</w:t>
            </w:r>
          </w:p>
        </w:tc>
      </w:tr>
    </w:tbl>
    <w:p>
      <w:pPr>
        <w:pBdr>
          <w:bottom w:val="single" w:color="D9D9D9" w:sz="4" w:space="1"/>
        </w:pBdr>
        <w:spacing w:after="80" w:before="80"/>
      </w:pPr>
      <w:r>
        <w:rPr>
          <w:sz w:val="4"/>
          <w:szCs w:val="4"/>
        </w:rPr>
        <w:t xml:space="preserve"/>
      </w:r>
    </w:p>
    <w:p>
      <w:pPr>
        <w:pStyle w:val="Heading2"/>
        <w:spacing w:after="120" w:before="240"/>
      </w:pPr>
      <w:r>
        <w:rPr>
          <w:rFonts w:ascii="Calibri" w:cs="Calibri" w:eastAsia="Calibri" w:hAnsi="Calibri"/>
          <w:b/>
          <w:bCs/>
          <w:color w:val="2E75B6"/>
          <w:sz w:val="26"/>
          <w:szCs w:val="26"/>
        </w:rPr>
        <w:t xml:space="preserve">D. Promotional Effectiveness</w:t>
      </w:r>
    </w:p>
    <w:p>
      <w:pPr>
        <w:spacing w:after="200" w:before="20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71750"/>
                    </a:xfrm>
                    <a:prstGeom prst="rect">
                      <a:avLst/>
                    </a:prstGeom>
                  </pic:spPr>
                </pic:pic>
              </a:graphicData>
            </a:graphic>
          </wp:inline>
        </w:drawing>
      </w:r>
    </w:p>
    <w:p>
      <w:pPr>
        <w:spacing w:after="200" w:before="0"/>
        <w:jc w:val="center"/>
      </w:pPr>
      <w:r>
        <w:rPr>
          <w:rFonts w:ascii="Calibri" w:cs="Calibri" w:eastAsia="Calibri" w:hAnsi="Calibri"/>
          <w:i/>
          <w:iCs/>
          <w:color w:val="666666"/>
          <w:sz w:val="18"/>
          <w:szCs w:val="18"/>
        </w:rPr>
        <w:t xml:space="preserve">Figure 5: ROI Comparison Across Three Promotional Mechanics — Shinez Brand</w:t>
      </w:r>
    </w:p>
    <w:p>
      <w:pPr>
        <w:spacing w:after="100" w:before="60"/>
        <w:jc w:val="left"/>
      </w:pPr>
      <w:r>
        <w:rPr>
          <w:rFonts w:ascii="Calibri" w:cs="Calibri" w:eastAsia="Calibri" w:hAnsi="Calibri"/>
          <w:color w:val="333333"/>
          <w:sz w:val="22"/>
          <w:szCs w:val="22"/>
        </w:rPr>
        <w:t xml:space="preserve">Three promotional mechanics were evaluated for the Shinez brand: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Promotion Mechanic</w:t>
            </w:r>
          </w:p>
        </w:tc>
        <w:tc>
          <w:tcPr>
            <w:tcW w:type="dxa" w:w="496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Performance</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Promo 1 — Buy 2, Get 1 Free</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bCs/>
                <w:color w:val="333333"/>
                <w:sz w:val="21"/>
                <w:szCs w:val="21"/>
              </w:rPr>
              <w:t xml:space="preserve">✓  1,161% ROI  |  $7.8M+ in pure revenue uplift  |  RECOMMENDED</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Promo 2 — 20% Off</w:t>
            </w:r>
          </w:p>
        </w:tc>
        <w:tc>
          <w:tcPr>
            <w:tcW w:type="dxa" w:w="4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  &lt; 10% ROI  |  Deep discounting erodes margin</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Promo 3 — Other Mechanic</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~45% ROI  |  Moderate performance</w:t>
            </w:r>
          </w:p>
        </w:tc>
      </w:tr>
    </w:tbl>
    <w:p>
      <w:pPr>
        <w:pBdr>
          <w:left w:val="single" w:color="2E7D32" w:sz="16" w:space="8"/>
        </w:pBdr>
        <w:shd w:fill="E8F5E9" w:val="clear"/>
        <w:spacing w:after="120" w:before="160"/>
      </w:pPr>
      <w:r>
        <w:rPr>
          <w:rFonts w:ascii="Calibri" w:cs="Calibri" w:eastAsia="Calibri" w:hAnsi="Calibri"/>
          <w:b/>
          <w:bCs/>
          <w:color w:val="1B5E20"/>
          <w:sz w:val="22"/>
          <w:szCs w:val="22"/>
        </w:rPr>
        <w:t xml:space="preserve">✓  Recommendation: </w:t>
      </w:r>
      <w:r>
        <w:rPr>
          <w:rFonts w:ascii="Calibri" w:cs="Calibri" w:eastAsia="Calibri" w:hAnsi="Calibri"/>
          <w:color w:val="2E7D32"/>
          <w:sz w:val="22"/>
          <w:szCs w:val="22"/>
        </w:rPr>
        <w:t xml:space="preserve">Future trade spend should aggressively prioritize Promotion 1 (Buy 2, Get 1 Free). Avoid deep discount mechanics that compress margins.</w:t>
      </w:r>
    </w:p>
    <w:p>
      <w:pPr>
        <w:pBdr>
          <w:bottom w:val="single" w:color="D9D9D9" w:sz="4" w:space="1"/>
        </w:pBdr>
        <w:spacing w:after="80" w:before="80"/>
      </w:pPr>
      <w:r>
        <w:rPr>
          <w:sz w:val="4"/>
          <w:szCs w:val="4"/>
        </w:rPr>
        <w:t xml:space="preserve"/>
      </w:r>
    </w:p>
    <w:p>
      <w:pPr>
        <w:pStyle w:val="Heading2"/>
        <w:spacing w:after="120" w:before="240"/>
      </w:pPr>
      <w:r>
        <w:rPr>
          <w:rFonts w:ascii="Calibri" w:cs="Calibri" w:eastAsia="Calibri" w:hAnsi="Calibri"/>
          <w:b/>
          <w:bCs/>
          <w:color w:val="2E75B6"/>
          <w:sz w:val="26"/>
          <w:szCs w:val="26"/>
        </w:rPr>
        <w:t xml:space="preserve">E. New Product Launch Recommendation</w:t>
      </w:r>
    </w:p>
    <w:p>
      <w:pPr>
        <w:spacing w:after="200" w:before="20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05000"/>
                    </a:xfrm>
                    <a:prstGeom prst="rect">
                      <a:avLst/>
                    </a:prstGeom>
                  </pic:spPr>
                </pic:pic>
              </a:graphicData>
            </a:graphic>
          </wp:inline>
        </w:drawing>
      </w:r>
    </w:p>
    <w:p>
      <w:pPr>
        <w:spacing w:after="200" w:before="0"/>
        <w:jc w:val="center"/>
      </w:pPr>
      <w:r>
        <w:rPr>
          <w:rFonts w:ascii="Calibri" w:cs="Calibri" w:eastAsia="Calibri" w:hAnsi="Calibri"/>
          <w:i/>
          <w:iCs/>
          <w:color w:val="666666"/>
          <w:sz w:val="18"/>
          <w:szCs w:val="18"/>
        </w:rPr>
        <w:t xml:space="preserve">Figure 6: HerbEssentials vs Herbashine — Head-to-Head Comparison</w:t>
      </w:r>
    </w:p>
    <w:p>
      <w:pPr>
        <w:pBdr>
          <w:left w:val="single" w:color="2E7D32" w:sz="16" w:space="8"/>
        </w:pBdr>
        <w:shd w:fill="E8F5E9" w:val="clear"/>
        <w:spacing w:after="120" w:before="160"/>
      </w:pPr>
      <w:r>
        <w:rPr>
          <w:rFonts w:ascii="Calibri" w:cs="Calibri" w:eastAsia="Calibri" w:hAnsi="Calibri"/>
          <w:b/>
          <w:bCs/>
          <w:color w:val="1B5E20"/>
          <w:sz w:val="24"/>
          <w:szCs w:val="24"/>
        </w:rPr>
        <w:t xml:space="preserve">✓  Launch Herbashine.  </w:t>
      </w:r>
      <w:r>
        <w:rPr>
          <w:rFonts w:ascii="Calibri" w:cs="Calibri" w:eastAsia="Calibri" w:hAnsi="Calibri"/>
          <w:color w:val="2E7D32"/>
          <w:sz w:val="22"/>
          <w:szCs w:val="22"/>
        </w:rPr>
        <w:t xml:space="preserve">While HerbEssentials projects slightly higher topline Net Sales ($0.36M vs $0.34M), Herbashine commands a higher estimated market share (12% vs 10%), lower COGS ($0.90), and delivers stronger overall Gross Profit — fully aligned with our NRM objective of maximizing profit, not just revenue.</w:t>
      </w:r>
    </w:p>
    <w:p>
      <w:pPr>
        <w:pStyle w:val="Heading1"/>
        <w:pBdr>
          <w:bottom w:val="single" w:color="2E75B6" w:sz="8" w:space="4"/>
        </w:pBdr>
        <w:spacing w:after="180" w:before="360"/>
      </w:pPr>
      <w:r>
        <w:rPr>
          <w:rFonts w:ascii="Calibri" w:cs="Calibri" w:eastAsia="Calibri" w:hAnsi="Calibri"/>
          <w:b/>
          <w:bCs/>
          <w:color w:val="1F3864"/>
          <w:sz w:val="32"/>
          <w:szCs w:val="32"/>
        </w:rPr>
        <w:t xml:space="preserve">5. Next Steps for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Action</w:t>
            </w:r>
          </w:p>
        </w:tc>
        <w:tc>
          <w:tcPr>
            <w:tcW w:type="dxa" w:w="4960"/>
            <w:shd w:fill="1F3864"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Description</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1</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Approve the Herbashine launch roadmap and allocate production/marketing resources.</w:t>
            </w:r>
          </w:p>
        </w:tc>
      </w:tr>
      <w:tr>
        <w:tc>
          <w:tcPr>
            <w:tcW w:type="dxa" w:w="4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2</w:t>
            </w:r>
          </w:p>
        </w:tc>
        <w:tc>
          <w:tcPr>
            <w:tcW w:type="dxa" w:w="4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Reallocate Q3/Q4 promotional budgets specifically toward 'Buy X, Get Y' mechanics, supported by the Shinez historical ROI data.</w:t>
            </w:r>
          </w:p>
        </w:tc>
      </w:tr>
      <w:tr>
        <w:tc>
          <w:tcPr>
            <w:tcW w:type="dxa" w:w="440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left"/>
            </w:pPr>
            <w:r>
              <w:rPr>
                <w:rFonts w:ascii="Calibri" w:cs="Calibri" w:eastAsia="Calibri" w:hAnsi="Calibri"/>
                <w:b/>
                <w:bCs/>
                <w:color w:val="333333"/>
                <w:sz w:val="21"/>
                <w:szCs w:val="21"/>
              </w:rPr>
              <w:t xml:space="preserve">3</w:t>
            </w:r>
          </w:p>
        </w:tc>
        <w:tc>
          <w:tcPr>
            <w:tcW w:type="dxa" w:w="4960"/>
            <w:tcBorders>
              <w:top w:val="single" w:color="DDDDDD" w:sz="4"/>
              <w:left w:val="single" w:color="DDDDDD" w:sz="4"/>
              <w:bottom w:val="single" w:color="DDDDDD" w:sz="4"/>
              <w:right w:val="single" w:color="DDDDDD" w:sz="4"/>
            </w:tcBorders>
            <w:shd w:fill="F5F9FF" w:val="clear"/>
            <w:tcMar>
              <w:top w:type="dxa" w:w="80"/>
              <w:left w:type="dxa" w:w="140"/>
              <w:bottom w:type="dxa" w:w="80"/>
              <w:right w:type="dxa" w:w="140"/>
            </w:tcMar>
          </w:tcPr>
          <w:p>
            <w:pPr>
              <w:jc w:val="center"/>
            </w:pPr>
            <w:r>
              <w:rPr>
                <w:rFonts w:ascii="Calibri" w:cs="Calibri" w:eastAsia="Calibri" w:hAnsi="Calibri"/>
                <w:b w:val="false"/>
                <w:bCs w:val="false"/>
                <w:color w:val="333333"/>
                <w:sz w:val="21"/>
                <w:szCs w:val="21"/>
              </w:rPr>
              <w:t xml:space="preserve">Protect the Shinez Repair 200ML supply chain — it disproportionately supports the portfolio's bottom-line profitability.</w:t>
            </w:r>
          </w:p>
        </w:tc>
      </w:tr>
    </w:tbl>
    <w:p>
      <w:pPr>
        <w:spacing w:after="80" w:before="300"/>
      </w:pPr>
    </w:p>
    <w:p>
      <w:pPr>
        <w:shd w:fill="1F3864" w:val="clear"/>
        <w:spacing w:after="0" w:before="0"/>
        <w:jc w:val="center"/>
      </w:pPr>
      <w:r>
        <w:rPr>
          <w:rFonts w:ascii="Calibri" w:cs="Calibri" w:eastAsia="Calibri" w:hAnsi="Calibri"/>
          <w:color w:val="FFFFFF"/>
          <w:sz w:val="18"/>
          <w:szCs w:val="18"/>
        </w:rPr>
        <w:t xml:space="preserve">HealthMax  |  Prepared by Satvik Sharma, Data Analyst &amp; Category Manager  |  FY 2023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2"/>
      </w:pBdr>
      <w:spacing w:after="0" w:before="80"/>
      <w:jc w:val="center"/>
    </w:pPr>
    <w:r>
      <w:rPr>
        <w:rFonts w:ascii="Calibri" w:cs="Calibri" w:eastAsia="Calibri" w:hAnsi="Calibri"/>
        <w:color w:val="888888"/>
        <w:sz w:val="18"/>
        <w:szCs w:val="18"/>
      </w:rPr>
      <w:t xml:space="preserve">Satvik Sharma  |  Page </w:t>
    </w:r>
    <w:r>
      <w:rPr>
        <w:rFonts w:ascii="Calibri" w:cs="Calibri" w:eastAsia="Calibri" w:hAnsi="Calibri"/>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00" w:before="0"/>
    </w:pPr>
    <w:r>
      <w:rPr>
        <w:rFonts w:ascii="Calibri" w:cs="Calibri" w:eastAsia="Calibri" w:hAnsi="Calibri"/>
        <w:color w:val="888888"/>
        <w:sz w:val="18"/>
        <w:szCs w:val="18"/>
      </w:rPr>
      <w:t xml:space="preserve">HealthMax  |  FMCG Market Analysis &amp; NRM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sz w:val="24"/>
        <w:szCs w:val="2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188cbf04bdbc34134da07eceaa6c19484e8518.png"/><Relationship Id="rId10" Type="http://schemas.openxmlformats.org/officeDocument/2006/relationships/image" Target="media/01ad7c4eb84d6a91c2268b4cc8c04a5aa4b22c7a.png"/><Relationship Id="rId11" Type="http://schemas.openxmlformats.org/officeDocument/2006/relationships/image" Target="media/90dd681b59cfd44b9d93f8e599eb78646c6b7416.png"/><Relationship Id="rId12" Type="http://schemas.openxmlformats.org/officeDocument/2006/relationships/image" Target="media/f22b24eeed11b56e3d1ae3b3c1ed5af418dc4ccc.png"/><Relationship Id="rId13" Type="http://schemas.openxmlformats.org/officeDocument/2006/relationships/image" Target="media/6dfa1f494f38ee9e24058e0384b321683b2da1e0.png"/><Relationship Id="rId14" Type="http://schemas.openxmlformats.org/officeDocument/2006/relationships/image" Target="media/4977d5042687eb9b610af761988530b36fd797b3.png"/><Relationship Id="rId15" Type="http://schemas.openxmlformats.org/officeDocument/2006/relationships/fontTable" Target="fontTable.xml"/><Relationship Id="rId16" Type="http://schemas.openxmlformats.org/officeDocument/2006/relationships/image" Target="media/dashboa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2026-06-11T06:17:58.969Z</dcterms:created>
  <dcterms:modified xsi:type="dcterms:W3CDTF">2026-06-11T06:17:58.969Z</dcterms:modified>
</cp:coreProperties>
</file>

<file path=docProps/custom.xml><?xml version="1.0" encoding="utf-8"?>
<Properties xmlns="http://schemas.openxmlformats.org/officeDocument/2006/custom-properties" xmlns:vt="http://schemas.openxmlformats.org/officeDocument/2006/docPropsVTypes"/>
</file>