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03A21" w14:textId="419326C6" w:rsidR="006F30B2" w:rsidRPr="00C400C9" w:rsidRDefault="006F30B2" w:rsidP="00C400C9">
      <w:pPr>
        <w:spacing w:after="0" w:line="240" w:lineRule="auto"/>
        <w:outlineLvl w:val="1"/>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 xml:space="preserve">Overall Feedback </w:t>
      </w:r>
    </w:p>
    <w:p w14:paraId="44F2C0AE" w14:textId="77777777" w:rsidR="006F30B2" w:rsidRPr="00C400C9" w:rsidRDefault="006F30B2" w:rsidP="00C400C9">
      <w:pPr>
        <w:spacing w:after="0" w:line="240" w:lineRule="auto"/>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This project demonstrates a strong technical understanding of self-supervised learning and its application to histopathology, with a well-designed, controlled comparison between supervised training, reconstruction-based SSL, and contrastive SSL on the SICAPv2 dataset. The report is clearly written, methodologically sound, and notably strong in its experimental rigor, reproducibility, and depth of analysis—particularly the thoughtful failure analysis explaining why SimCLR underperformed under compute and batch-size constraints. The use of a shared encoder backbone, appropriate evaluation metrics (including Cohen’s κ), and careful interpretation of class imbalance and ordinal grading challenges reflect graduate-level maturity. While the work remains limited to patch-level classification on a single dataset and does not fully address minority class collapse (Grade 5), the authors are transparent about these limitations and provide technically grounded, actionable recommendations for future improvement. Overall, this is a high-quality project that goes beyond implementation to demonstrate critical reasoning and domain awareness.</w:t>
      </w:r>
    </w:p>
    <w:p w14:paraId="2FD6B1FF" w14:textId="77777777" w:rsidR="006F30B2" w:rsidRPr="00C400C9" w:rsidRDefault="00000000" w:rsidP="00C400C9">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57545C58">
          <v:rect id="_x0000_i1025" style="width:0;height:1.5pt" o:hralign="center" o:hrstd="t" o:hr="t" fillcolor="#a0a0a0" stroked="f"/>
        </w:pict>
      </w:r>
    </w:p>
    <w:p w14:paraId="5A7754DC" w14:textId="77777777" w:rsidR="006F30B2" w:rsidRPr="00C400C9" w:rsidRDefault="006F30B2" w:rsidP="00C400C9">
      <w:pPr>
        <w:spacing w:after="0" w:line="240" w:lineRule="auto"/>
        <w:outlineLvl w:val="1"/>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Mark (Out of 100)</w:t>
      </w:r>
    </w:p>
    <w:p w14:paraId="2EFF51DE" w14:textId="1BEC8B81" w:rsidR="006F30B2" w:rsidRPr="00C400C9" w:rsidRDefault="00436173" w:rsidP="00636B89">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9</w:t>
      </w:r>
      <w:r w:rsidR="00636B89">
        <w:rPr>
          <w:rFonts w:ascii="Times New Roman" w:eastAsia="Times New Roman" w:hAnsi="Times New Roman" w:cs="Times New Roman"/>
          <w:kern w:val="0"/>
          <w:sz w:val="24"/>
          <w:szCs w:val="24"/>
          <w:lang w:eastAsia="en-CA"/>
          <w14:ligatures w14:val="none"/>
        </w:rPr>
        <w:t>2</w:t>
      </w:r>
      <w:r w:rsidR="006F30B2" w:rsidRPr="00C400C9">
        <w:rPr>
          <w:rFonts w:ascii="Times New Roman" w:eastAsia="Times New Roman" w:hAnsi="Times New Roman" w:cs="Times New Roman"/>
          <w:kern w:val="0"/>
          <w:sz w:val="24"/>
          <w:szCs w:val="24"/>
          <w:lang w:eastAsia="en-CA"/>
          <w14:ligatures w14:val="none"/>
        </w:rPr>
        <w:t xml:space="preserve"> / 100</w:t>
      </w:r>
    </w:p>
    <w:p w14:paraId="13F4723D" w14:textId="77777777" w:rsidR="006F30B2" w:rsidRPr="00C400C9" w:rsidRDefault="00000000" w:rsidP="00C400C9">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5A6781A5">
          <v:rect id="_x0000_i1026" style="width:0;height:1.5pt" o:hralign="center" o:hrstd="t" o:hr="t" fillcolor="#a0a0a0" stroked="f"/>
        </w:pict>
      </w:r>
    </w:p>
    <w:p w14:paraId="23CF57AB" w14:textId="77777777" w:rsidR="006F30B2" w:rsidRPr="00C400C9" w:rsidRDefault="006F30B2" w:rsidP="00C400C9">
      <w:pPr>
        <w:spacing w:after="0" w:line="240" w:lineRule="auto"/>
        <w:outlineLvl w:val="1"/>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Strong Points</w:t>
      </w:r>
    </w:p>
    <w:p w14:paraId="6462F5DD" w14:textId="77777777" w:rsidR="006F30B2" w:rsidRPr="00C400C9" w:rsidRDefault="006F30B2" w:rsidP="00C400C9">
      <w:pPr>
        <w:numPr>
          <w:ilvl w:val="0"/>
          <w:numId w:val="1"/>
        </w:numPr>
        <w:spacing w:after="0" w:line="240" w:lineRule="auto"/>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Well-controlled experimental design: Shared encoder backbone across methods enables fair, apples-to-apples comparison.</w:t>
      </w:r>
    </w:p>
    <w:p w14:paraId="437F08B6" w14:textId="77777777" w:rsidR="006F30B2" w:rsidRPr="00C400C9" w:rsidRDefault="006F30B2" w:rsidP="00C400C9">
      <w:pPr>
        <w:numPr>
          <w:ilvl w:val="0"/>
          <w:numId w:val="1"/>
        </w:numPr>
        <w:spacing w:after="0" w:line="240" w:lineRule="auto"/>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Strong analytical depth: Excellent failure analysis of SimCLR, grounded in metrics, ROC curves, and confusion matrices.</w:t>
      </w:r>
    </w:p>
    <w:p w14:paraId="7B7DF765" w14:textId="77777777" w:rsidR="006F30B2" w:rsidRPr="00C400C9" w:rsidRDefault="006F30B2" w:rsidP="00C400C9">
      <w:pPr>
        <w:numPr>
          <w:ilvl w:val="0"/>
          <w:numId w:val="1"/>
        </w:numPr>
        <w:spacing w:after="0" w:line="240" w:lineRule="auto"/>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Clear articulation of domain challenges: Thoughtful discussion of class imbalance, ordinal grading, and patch-level label noise.</w:t>
      </w:r>
    </w:p>
    <w:p w14:paraId="2A88D042" w14:textId="77777777" w:rsidR="006F30B2" w:rsidRPr="00C400C9" w:rsidRDefault="006F30B2" w:rsidP="00C400C9">
      <w:pPr>
        <w:numPr>
          <w:ilvl w:val="0"/>
          <w:numId w:val="1"/>
        </w:numPr>
        <w:spacing w:after="0" w:line="240" w:lineRule="auto"/>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Appropriate and diverse evaluation metrics: Accuracy, macro/weighted F1, Cohen’s κ, per-class metrics, and ROC analysis.</w:t>
      </w:r>
    </w:p>
    <w:p w14:paraId="5DAA4379" w14:textId="77777777" w:rsidR="006F30B2" w:rsidRPr="00C400C9" w:rsidRDefault="006F30B2" w:rsidP="00C400C9">
      <w:pPr>
        <w:numPr>
          <w:ilvl w:val="0"/>
          <w:numId w:val="1"/>
        </w:numPr>
        <w:spacing w:after="0" w:line="240" w:lineRule="auto"/>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Reproducibility: Public codebase, detailed hyperparameters, and clear training protocols.</w:t>
      </w:r>
    </w:p>
    <w:p w14:paraId="67EB6E71" w14:textId="77777777" w:rsidR="006F30B2" w:rsidRPr="00C400C9" w:rsidRDefault="006F30B2" w:rsidP="00C400C9">
      <w:pPr>
        <w:numPr>
          <w:ilvl w:val="0"/>
          <w:numId w:val="1"/>
        </w:numPr>
        <w:spacing w:after="0" w:line="240" w:lineRule="auto"/>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Technical maturity: Correct use of focal loss, frozen-encoder evaluation, and SSL diagnostics.</w:t>
      </w:r>
    </w:p>
    <w:p w14:paraId="4DF8DE0F" w14:textId="77777777" w:rsidR="006F30B2" w:rsidRPr="00C400C9" w:rsidRDefault="006F30B2" w:rsidP="00C400C9">
      <w:pPr>
        <w:numPr>
          <w:ilvl w:val="0"/>
          <w:numId w:val="1"/>
        </w:numPr>
        <w:spacing w:after="0" w:line="240" w:lineRule="auto"/>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High-quality writing and structure: Well-organized, readable, and aligned with academic paper standards.</w:t>
      </w:r>
    </w:p>
    <w:p w14:paraId="5F6BCCB3" w14:textId="77777777" w:rsidR="006F30B2" w:rsidRPr="00C400C9" w:rsidRDefault="00000000" w:rsidP="00C400C9">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4FE58370">
          <v:rect id="_x0000_i1027" style="width:0;height:1.5pt" o:hralign="center" o:hrstd="t" o:hr="t" fillcolor="#a0a0a0" stroked="f"/>
        </w:pict>
      </w:r>
    </w:p>
    <w:p w14:paraId="4598D468" w14:textId="77777777" w:rsidR="006F30B2" w:rsidRPr="00C400C9" w:rsidRDefault="006F30B2" w:rsidP="00C400C9">
      <w:pPr>
        <w:spacing w:after="0" w:line="240" w:lineRule="auto"/>
        <w:outlineLvl w:val="1"/>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Weak Points</w:t>
      </w:r>
    </w:p>
    <w:p w14:paraId="13196A68" w14:textId="77777777" w:rsidR="006F30B2" w:rsidRPr="00C400C9" w:rsidRDefault="006F30B2" w:rsidP="00C400C9">
      <w:pPr>
        <w:numPr>
          <w:ilvl w:val="0"/>
          <w:numId w:val="2"/>
        </w:numPr>
        <w:spacing w:after="0" w:line="240" w:lineRule="auto"/>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Limited SSL diversity: Only SimCLR is explored among contrastive methods; MoCo/BYOL/DINO are discussed but not implemented.</w:t>
      </w:r>
    </w:p>
    <w:p w14:paraId="5113DC57" w14:textId="77777777" w:rsidR="006F30B2" w:rsidRPr="00C400C9" w:rsidRDefault="006F30B2" w:rsidP="00C400C9">
      <w:pPr>
        <w:numPr>
          <w:ilvl w:val="0"/>
          <w:numId w:val="2"/>
        </w:numPr>
        <w:spacing w:after="0" w:line="240" w:lineRule="auto"/>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Minority class failure unresolved: Grade 5 performance remains at F1 = 0 across all methods, with no experimental mitigation.</w:t>
      </w:r>
    </w:p>
    <w:p w14:paraId="01F8D72B" w14:textId="77777777" w:rsidR="006F30B2" w:rsidRPr="00C400C9" w:rsidRDefault="006F30B2" w:rsidP="00C400C9">
      <w:pPr>
        <w:numPr>
          <w:ilvl w:val="0"/>
          <w:numId w:val="2"/>
        </w:numPr>
        <w:spacing w:after="0" w:line="240" w:lineRule="auto"/>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Single-dataset evaluation: No cross-dataset or external validation to assess generalization.</w:t>
      </w:r>
    </w:p>
    <w:p w14:paraId="42632CC4" w14:textId="77777777" w:rsidR="006F30B2" w:rsidRPr="00C400C9" w:rsidRDefault="006F30B2" w:rsidP="00C400C9">
      <w:pPr>
        <w:numPr>
          <w:ilvl w:val="0"/>
          <w:numId w:val="2"/>
        </w:numPr>
        <w:spacing w:after="0" w:line="240" w:lineRule="auto"/>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Patch-level only: No multi-scale, MIL, or slide-level aggregation despite clear acknowledgment of their importance.</w:t>
      </w:r>
    </w:p>
    <w:p w14:paraId="71B9321F" w14:textId="77777777" w:rsidR="006F30B2" w:rsidRPr="00C400C9" w:rsidRDefault="006F30B2" w:rsidP="00C400C9">
      <w:pPr>
        <w:numPr>
          <w:ilvl w:val="0"/>
          <w:numId w:val="2"/>
        </w:numPr>
        <w:spacing w:after="0" w:line="240" w:lineRule="auto"/>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Encoder frozen during fine-tuning: While diagnostically valid, end-to-end fine-tuning results would strengthen conclusions.</w:t>
      </w:r>
    </w:p>
    <w:p w14:paraId="68C4B4B6" w14:textId="77777777" w:rsidR="006F30B2" w:rsidRPr="00C400C9" w:rsidRDefault="006F30B2" w:rsidP="00C400C9">
      <w:pPr>
        <w:numPr>
          <w:ilvl w:val="0"/>
          <w:numId w:val="2"/>
        </w:numPr>
        <w:pBdr>
          <w:bottom w:val="single" w:sz="6" w:space="1" w:color="auto"/>
        </w:pBdr>
        <w:spacing w:after="0" w:line="240" w:lineRule="auto"/>
        <w:rPr>
          <w:rFonts w:ascii="Times New Roman" w:eastAsia="Times New Roman" w:hAnsi="Times New Roman" w:cs="Times New Roman"/>
          <w:kern w:val="0"/>
          <w:sz w:val="24"/>
          <w:szCs w:val="24"/>
          <w:lang w:eastAsia="en-CA"/>
          <w14:ligatures w14:val="none"/>
        </w:rPr>
      </w:pPr>
      <w:r w:rsidRPr="00C400C9">
        <w:rPr>
          <w:rFonts w:ascii="Times New Roman" w:eastAsia="Times New Roman" w:hAnsi="Times New Roman" w:cs="Times New Roman"/>
          <w:kern w:val="0"/>
          <w:sz w:val="24"/>
          <w:szCs w:val="24"/>
          <w:lang w:eastAsia="en-CA"/>
          <w14:ligatures w14:val="none"/>
        </w:rPr>
        <w:t>Limited ablation studies: Augmentation strength, batch size, and pretraining duration are discussed but not empirically ablated.</w:t>
      </w:r>
    </w:p>
    <w:p w14:paraId="4C14E1AA" w14:textId="77777777" w:rsidR="00A71DD0" w:rsidRDefault="00A71DD0"/>
    <w:p w14:paraId="77BE2DB5" w14:textId="77777777" w:rsidR="00A71DD0" w:rsidRPr="00A71DD0" w:rsidRDefault="00A71DD0" w:rsidP="00A71DD0">
      <w:pPr>
        <w:spacing w:after="0" w:line="240" w:lineRule="auto"/>
        <w:outlineLvl w:val="1"/>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lastRenderedPageBreak/>
        <w:t>Key Revisions Needed to Make This Project Publishable</w:t>
      </w:r>
    </w:p>
    <w:p w14:paraId="55EC835F" w14:textId="77777777" w:rsidR="00A71DD0" w:rsidRPr="00A71DD0" w:rsidRDefault="00A71DD0" w:rsidP="00A71DD0">
      <w:pPr>
        <w:spacing w:after="0" w:line="240" w:lineRule="auto"/>
        <w:outlineLvl w:val="2"/>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1. Strengthen the SSL Baseline Beyond SimCLR</w:t>
      </w:r>
    </w:p>
    <w:p w14:paraId="6D78AED9" w14:textId="77777777" w:rsidR="00A71DD0" w:rsidRPr="00A71DD0" w:rsidRDefault="00A71DD0" w:rsidP="00A71DD0">
      <w:pPr>
        <w:numPr>
          <w:ilvl w:val="0"/>
          <w:numId w:val="3"/>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Add at least one momentum-based SSL method (e.g., MoCo v2 or BYOL) to remove the known batch-size dependency of SimCLR.</w:t>
      </w:r>
    </w:p>
    <w:p w14:paraId="49D8A4C8" w14:textId="77777777" w:rsidR="00A71DD0" w:rsidRPr="00A71DD0" w:rsidRDefault="00A71DD0" w:rsidP="00A71DD0">
      <w:pPr>
        <w:numPr>
          <w:ilvl w:val="0"/>
          <w:numId w:val="3"/>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Keep the same encoder backbone and evaluation protocol to preserve the controlled comparison.</w:t>
      </w:r>
    </w:p>
    <w:p w14:paraId="17366081" w14:textId="77777777" w:rsidR="00A71DD0" w:rsidRPr="00A71DD0" w:rsidRDefault="00A71DD0" w:rsidP="00A71DD0">
      <w:pPr>
        <w:numPr>
          <w:ilvl w:val="0"/>
          <w:numId w:val="3"/>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This single addition would substantially strengthen the paper’s central claim about which SSL paradigms are suitable for histopathology under realistic compute constraints.</w:t>
      </w:r>
    </w:p>
    <w:p w14:paraId="1C20F228" w14:textId="77777777" w:rsidR="00A71DD0" w:rsidRPr="00A71DD0" w:rsidRDefault="00000000" w:rsidP="00A71DD0">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623F327C">
          <v:rect id="_x0000_i1028" style="width:0;height:1.5pt" o:hralign="center" o:hrstd="t" o:hr="t" fillcolor="#a0a0a0" stroked="f"/>
        </w:pict>
      </w:r>
    </w:p>
    <w:p w14:paraId="36F6B256" w14:textId="77777777" w:rsidR="00A71DD0" w:rsidRPr="00A71DD0" w:rsidRDefault="00A71DD0" w:rsidP="00A71DD0">
      <w:pPr>
        <w:spacing w:after="0" w:line="240" w:lineRule="auto"/>
        <w:outlineLvl w:val="2"/>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2. Address Grade-5 (Minority Class) Failure Experimentally</w:t>
      </w:r>
    </w:p>
    <w:p w14:paraId="312463DC" w14:textId="77777777" w:rsidR="00A71DD0" w:rsidRPr="00A71DD0" w:rsidRDefault="00A71DD0" w:rsidP="00A71DD0">
      <w:pPr>
        <w:numPr>
          <w:ilvl w:val="0"/>
          <w:numId w:val="4"/>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Introduce one concrete mitigation strategy and evaluate its impact:</w:t>
      </w:r>
    </w:p>
    <w:p w14:paraId="5C17C7DC" w14:textId="77777777" w:rsidR="00A71DD0" w:rsidRPr="00A71DD0" w:rsidRDefault="00A71DD0" w:rsidP="00A71DD0">
      <w:pPr>
        <w:numPr>
          <w:ilvl w:val="1"/>
          <w:numId w:val="4"/>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Class-balanced sampling or effective-number weighting</w:t>
      </w:r>
    </w:p>
    <w:p w14:paraId="175B3411" w14:textId="77777777" w:rsidR="00A71DD0" w:rsidRPr="00A71DD0" w:rsidRDefault="00A71DD0" w:rsidP="00A71DD0">
      <w:pPr>
        <w:numPr>
          <w:ilvl w:val="1"/>
          <w:numId w:val="4"/>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Ordinal loss or cost-sensitive loss (reflecting Gleason ordering)</w:t>
      </w:r>
    </w:p>
    <w:p w14:paraId="20E92E4B" w14:textId="77777777" w:rsidR="00A71DD0" w:rsidRPr="00A71DD0" w:rsidRDefault="00A71DD0" w:rsidP="00A71DD0">
      <w:pPr>
        <w:numPr>
          <w:ilvl w:val="1"/>
          <w:numId w:val="4"/>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MixUp / CutMix applied selectively to minority classes</w:t>
      </w:r>
    </w:p>
    <w:p w14:paraId="2CA1BCFA" w14:textId="77777777" w:rsidR="00A71DD0" w:rsidRPr="00A71DD0" w:rsidRDefault="00A71DD0" w:rsidP="00A71DD0">
      <w:pPr>
        <w:numPr>
          <w:ilvl w:val="0"/>
          <w:numId w:val="4"/>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Even a partial recovery (non-zero G5 F1) would significantly improve clinical relevance and novelty.</w:t>
      </w:r>
    </w:p>
    <w:p w14:paraId="53DB9278" w14:textId="77777777" w:rsidR="00A71DD0" w:rsidRPr="00A71DD0" w:rsidRDefault="00000000" w:rsidP="00A71DD0">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2D80BBF4">
          <v:rect id="_x0000_i1029" style="width:0;height:1.5pt" o:hralign="center" o:hrstd="t" o:hr="t" fillcolor="#a0a0a0" stroked="f"/>
        </w:pict>
      </w:r>
    </w:p>
    <w:p w14:paraId="298EE2A8" w14:textId="77777777" w:rsidR="00A71DD0" w:rsidRPr="00A71DD0" w:rsidRDefault="00A71DD0" w:rsidP="00A71DD0">
      <w:pPr>
        <w:spacing w:after="0" w:line="240" w:lineRule="auto"/>
        <w:outlineLvl w:val="2"/>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3. Add an Augmentation Ablation Study (Small but High Impact)</w:t>
      </w:r>
    </w:p>
    <w:p w14:paraId="699A116F" w14:textId="77777777" w:rsidR="00A71DD0" w:rsidRPr="00A71DD0" w:rsidRDefault="00A71DD0" w:rsidP="00A71DD0">
      <w:pPr>
        <w:numPr>
          <w:ilvl w:val="0"/>
          <w:numId w:val="5"/>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Systematically vary color jitter strength and crop ratio for SimCLR (e.g., ±10%, ±20%, ±40%; crop 90–100% vs. 80–100%).</w:t>
      </w:r>
    </w:p>
    <w:p w14:paraId="569BB753" w14:textId="77777777" w:rsidR="00A71DD0" w:rsidRPr="00A71DD0" w:rsidRDefault="00A71DD0" w:rsidP="00A71DD0">
      <w:pPr>
        <w:numPr>
          <w:ilvl w:val="0"/>
          <w:numId w:val="5"/>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Show how augmentation strength affects representation transfer.</w:t>
      </w:r>
    </w:p>
    <w:p w14:paraId="2ED4C97D" w14:textId="77777777" w:rsidR="00A71DD0" w:rsidRPr="00A71DD0" w:rsidRDefault="00A71DD0" w:rsidP="00A71DD0">
      <w:pPr>
        <w:numPr>
          <w:ilvl w:val="0"/>
          <w:numId w:val="5"/>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This directly supports the paper’s claim that domain-specific augmentations are critical in pathology SSL, and can be done with minimal additional compute.</w:t>
      </w:r>
    </w:p>
    <w:p w14:paraId="34428E30" w14:textId="77777777" w:rsidR="00A71DD0" w:rsidRPr="00A71DD0" w:rsidRDefault="00000000" w:rsidP="00A71DD0">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3EB7519D">
          <v:rect id="_x0000_i1030" style="width:0;height:1.5pt" o:hralign="center" o:hrstd="t" o:hr="t" fillcolor="#a0a0a0" stroked="f"/>
        </w:pict>
      </w:r>
    </w:p>
    <w:p w14:paraId="78558FBD" w14:textId="77777777" w:rsidR="00A71DD0" w:rsidRPr="00A71DD0" w:rsidRDefault="00A71DD0" w:rsidP="00A71DD0">
      <w:pPr>
        <w:spacing w:after="0" w:line="240" w:lineRule="auto"/>
        <w:outlineLvl w:val="2"/>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4. Include End-to-End Fine-Tuning Results</w:t>
      </w:r>
    </w:p>
    <w:p w14:paraId="057850BB" w14:textId="77777777" w:rsidR="00A71DD0" w:rsidRPr="00A71DD0" w:rsidRDefault="00A71DD0" w:rsidP="00A71DD0">
      <w:pPr>
        <w:numPr>
          <w:ilvl w:val="0"/>
          <w:numId w:val="6"/>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In addition to frozen-encoder (linear probe) evaluation, include end-to-end fine-tuning for CAE and SimCLR.</w:t>
      </w:r>
    </w:p>
    <w:p w14:paraId="73BDCE34" w14:textId="77777777" w:rsidR="00A71DD0" w:rsidRPr="00A71DD0" w:rsidRDefault="00A71DD0" w:rsidP="00A71DD0">
      <w:pPr>
        <w:numPr>
          <w:ilvl w:val="0"/>
          <w:numId w:val="6"/>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Report both results side-by-side.</w:t>
      </w:r>
    </w:p>
    <w:p w14:paraId="539C8A8A" w14:textId="77777777" w:rsidR="00A71DD0" w:rsidRPr="00A71DD0" w:rsidRDefault="00A71DD0" w:rsidP="00A71DD0">
      <w:pPr>
        <w:numPr>
          <w:ilvl w:val="0"/>
          <w:numId w:val="6"/>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Reviewers expect this and it strengthens the practical conclusions without undermining the diagnostic value of frozen-encoder analysis.</w:t>
      </w:r>
    </w:p>
    <w:p w14:paraId="377BAE78" w14:textId="77777777" w:rsidR="00A71DD0" w:rsidRPr="00A71DD0" w:rsidRDefault="00000000" w:rsidP="00A71DD0">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19C2C2F0">
          <v:rect id="_x0000_i1031" style="width:0;height:1.5pt" o:hralign="center" o:hrstd="t" o:hr="t" fillcolor="#a0a0a0" stroked="f"/>
        </w:pict>
      </w:r>
    </w:p>
    <w:p w14:paraId="1EE0FF5F" w14:textId="77777777" w:rsidR="00A71DD0" w:rsidRPr="00A71DD0" w:rsidRDefault="00A71DD0" w:rsidP="00A71DD0">
      <w:pPr>
        <w:spacing w:after="0" w:line="240" w:lineRule="auto"/>
        <w:outlineLvl w:val="2"/>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5. Representation Quality Analysis (One Extra Figure)</w:t>
      </w:r>
    </w:p>
    <w:p w14:paraId="38B1A7D1" w14:textId="77777777" w:rsidR="00A71DD0" w:rsidRPr="00A71DD0" w:rsidRDefault="00A71DD0" w:rsidP="00A71DD0">
      <w:pPr>
        <w:numPr>
          <w:ilvl w:val="0"/>
          <w:numId w:val="7"/>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Add t-SNE or UMAP plots of learned embeddings for:</w:t>
      </w:r>
    </w:p>
    <w:p w14:paraId="127FE1A2" w14:textId="77777777" w:rsidR="00A71DD0" w:rsidRPr="00A71DD0" w:rsidRDefault="00A71DD0" w:rsidP="00A71DD0">
      <w:pPr>
        <w:numPr>
          <w:ilvl w:val="1"/>
          <w:numId w:val="7"/>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Baseline</w:t>
      </w:r>
    </w:p>
    <w:p w14:paraId="4EFFBC1F" w14:textId="77777777" w:rsidR="00A71DD0" w:rsidRPr="00A71DD0" w:rsidRDefault="00A71DD0" w:rsidP="00A71DD0">
      <w:pPr>
        <w:numPr>
          <w:ilvl w:val="1"/>
          <w:numId w:val="7"/>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CAE-SSL</w:t>
      </w:r>
    </w:p>
    <w:p w14:paraId="43E0DAE9" w14:textId="77777777" w:rsidR="00A71DD0" w:rsidRPr="00A71DD0" w:rsidRDefault="00A71DD0" w:rsidP="00A71DD0">
      <w:pPr>
        <w:numPr>
          <w:ilvl w:val="1"/>
          <w:numId w:val="7"/>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Contrastive SSL</w:t>
      </w:r>
    </w:p>
    <w:p w14:paraId="243AFAD5" w14:textId="77777777" w:rsidR="00A71DD0" w:rsidRPr="00A71DD0" w:rsidRDefault="00A71DD0" w:rsidP="00A71DD0">
      <w:pPr>
        <w:numPr>
          <w:ilvl w:val="0"/>
          <w:numId w:val="7"/>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Color by Gleason grade.</w:t>
      </w:r>
    </w:p>
    <w:p w14:paraId="05B57D39" w14:textId="77777777" w:rsidR="00A71DD0" w:rsidRPr="00A71DD0" w:rsidRDefault="00A71DD0" w:rsidP="00A71DD0">
      <w:pPr>
        <w:numPr>
          <w:ilvl w:val="0"/>
          <w:numId w:val="7"/>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This visually supports the claim that CAE learns more class-separable features and that SimCLR collapses minority grades.</w:t>
      </w:r>
    </w:p>
    <w:p w14:paraId="1E919DE5" w14:textId="77777777" w:rsidR="00A71DD0" w:rsidRPr="00A71DD0" w:rsidRDefault="00000000" w:rsidP="00A71DD0">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5FBD2EED">
          <v:rect id="_x0000_i1032" style="width:0;height:1.5pt" o:hralign="center" o:hrstd="t" o:hr="t" fillcolor="#a0a0a0" stroked="f"/>
        </w:pict>
      </w:r>
    </w:p>
    <w:p w14:paraId="536317C8" w14:textId="77777777" w:rsidR="00A71DD0" w:rsidRPr="00A71DD0" w:rsidRDefault="00A71DD0" w:rsidP="00A71DD0">
      <w:pPr>
        <w:spacing w:after="0" w:line="240" w:lineRule="auto"/>
        <w:outlineLvl w:val="2"/>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6. Cross-Dataset or Cross-Split Validation (If Feasible)</w:t>
      </w:r>
    </w:p>
    <w:p w14:paraId="1B943956" w14:textId="77777777" w:rsidR="00A71DD0" w:rsidRPr="00A71DD0" w:rsidRDefault="00A71DD0" w:rsidP="00A71DD0">
      <w:pPr>
        <w:numPr>
          <w:ilvl w:val="0"/>
          <w:numId w:val="8"/>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If another prostate dataset is available (e.g., PANDA or Gleason2019):</w:t>
      </w:r>
    </w:p>
    <w:p w14:paraId="20685E61" w14:textId="77777777" w:rsidR="00A71DD0" w:rsidRPr="00A71DD0" w:rsidRDefault="00A71DD0" w:rsidP="00A71DD0">
      <w:pPr>
        <w:numPr>
          <w:ilvl w:val="1"/>
          <w:numId w:val="8"/>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Train on SICAPv2, evaluate on the external dataset (even partially).</w:t>
      </w:r>
    </w:p>
    <w:p w14:paraId="5EF96350" w14:textId="77777777" w:rsidR="00A71DD0" w:rsidRPr="00A71DD0" w:rsidRDefault="00A71DD0" w:rsidP="00A71DD0">
      <w:pPr>
        <w:numPr>
          <w:ilvl w:val="0"/>
          <w:numId w:val="8"/>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If not, perform cross-fold validation instead of a single split.</w:t>
      </w:r>
    </w:p>
    <w:p w14:paraId="6581C031" w14:textId="55A6B4AB" w:rsidR="00A71DD0" w:rsidRPr="00EE7FD7" w:rsidRDefault="00A71DD0" w:rsidP="00EE7FD7">
      <w:pPr>
        <w:numPr>
          <w:ilvl w:val="0"/>
          <w:numId w:val="8"/>
        </w:numPr>
        <w:spacing w:after="0" w:line="240" w:lineRule="auto"/>
        <w:rPr>
          <w:rFonts w:ascii="Times New Roman" w:eastAsia="Times New Roman" w:hAnsi="Times New Roman" w:cs="Times New Roman"/>
          <w:kern w:val="0"/>
          <w:sz w:val="24"/>
          <w:szCs w:val="24"/>
          <w:lang w:eastAsia="en-CA"/>
          <w14:ligatures w14:val="none"/>
        </w:rPr>
      </w:pPr>
      <w:r w:rsidRPr="00A71DD0">
        <w:rPr>
          <w:rFonts w:ascii="Times New Roman" w:eastAsia="Times New Roman" w:hAnsi="Times New Roman" w:cs="Times New Roman"/>
          <w:kern w:val="0"/>
          <w:sz w:val="24"/>
          <w:szCs w:val="24"/>
          <w:lang w:eastAsia="en-CA"/>
          <w14:ligatures w14:val="none"/>
        </w:rPr>
        <w:t>This addresses generalization concerns, a common reviewer criticism in medical imaging papers.</w:t>
      </w:r>
    </w:p>
    <w:sectPr w:rsidR="00A71DD0" w:rsidRPr="00EE7F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9512A"/>
    <w:multiLevelType w:val="multilevel"/>
    <w:tmpl w:val="DBBA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C043C"/>
    <w:multiLevelType w:val="multilevel"/>
    <w:tmpl w:val="3656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63C66"/>
    <w:multiLevelType w:val="multilevel"/>
    <w:tmpl w:val="BFDC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D0ED4"/>
    <w:multiLevelType w:val="multilevel"/>
    <w:tmpl w:val="22964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85CDA"/>
    <w:multiLevelType w:val="multilevel"/>
    <w:tmpl w:val="A3DE2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D81B7C"/>
    <w:multiLevelType w:val="multilevel"/>
    <w:tmpl w:val="3062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D463A"/>
    <w:multiLevelType w:val="multilevel"/>
    <w:tmpl w:val="CD60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41CE4"/>
    <w:multiLevelType w:val="multilevel"/>
    <w:tmpl w:val="3EF81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061052">
    <w:abstractNumId w:val="6"/>
  </w:num>
  <w:num w:numId="2" w16cid:durableId="2137522737">
    <w:abstractNumId w:val="2"/>
  </w:num>
  <w:num w:numId="3" w16cid:durableId="1085566354">
    <w:abstractNumId w:val="1"/>
  </w:num>
  <w:num w:numId="4" w16cid:durableId="1256402529">
    <w:abstractNumId w:val="3"/>
  </w:num>
  <w:num w:numId="5" w16cid:durableId="60372124">
    <w:abstractNumId w:val="5"/>
  </w:num>
  <w:num w:numId="6" w16cid:durableId="174269558">
    <w:abstractNumId w:val="0"/>
  </w:num>
  <w:num w:numId="7" w16cid:durableId="1146893353">
    <w:abstractNumId w:val="7"/>
  </w:num>
  <w:num w:numId="8" w16cid:durableId="7812691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I0NrQ0MDQ3NjAxtbBU0lEKTi0uzszPAykwrQUAFpdD5SwAAAA="/>
  </w:docVars>
  <w:rsids>
    <w:rsidRoot w:val="00F47599"/>
    <w:rsid w:val="001D00D8"/>
    <w:rsid w:val="00436173"/>
    <w:rsid w:val="004727E4"/>
    <w:rsid w:val="00497BA9"/>
    <w:rsid w:val="00521A23"/>
    <w:rsid w:val="00636B89"/>
    <w:rsid w:val="006F30B2"/>
    <w:rsid w:val="0081483B"/>
    <w:rsid w:val="00897B5E"/>
    <w:rsid w:val="0092729A"/>
    <w:rsid w:val="00A71DD0"/>
    <w:rsid w:val="00AD3E8F"/>
    <w:rsid w:val="00C400C9"/>
    <w:rsid w:val="00CC0D46"/>
    <w:rsid w:val="00CD2790"/>
    <w:rsid w:val="00D253DB"/>
    <w:rsid w:val="00D33626"/>
    <w:rsid w:val="00E5266F"/>
    <w:rsid w:val="00EE7FD7"/>
    <w:rsid w:val="00F42052"/>
    <w:rsid w:val="00F47599"/>
    <w:rsid w:val="00FC74D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CD119"/>
  <w15:chartTrackingRefBased/>
  <w15:docId w15:val="{32CD0A30-EE0D-494F-9120-6D2CE5E56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5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75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75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5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5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5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75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75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5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5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599"/>
    <w:rPr>
      <w:rFonts w:eastAsiaTheme="majorEastAsia" w:cstheme="majorBidi"/>
      <w:color w:val="272727" w:themeColor="text1" w:themeTint="D8"/>
    </w:rPr>
  </w:style>
  <w:style w:type="paragraph" w:styleId="Title">
    <w:name w:val="Title"/>
    <w:basedOn w:val="Normal"/>
    <w:next w:val="Normal"/>
    <w:link w:val="TitleChar"/>
    <w:uiPriority w:val="10"/>
    <w:qFormat/>
    <w:rsid w:val="00F47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599"/>
    <w:pPr>
      <w:spacing w:before="160"/>
      <w:jc w:val="center"/>
    </w:pPr>
    <w:rPr>
      <w:i/>
      <w:iCs/>
      <w:color w:val="404040" w:themeColor="text1" w:themeTint="BF"/>
    </w:rPr>
  </w:style>
  <w:style w:type="character" w:customStyle="1" w:styleId="QuoteChar">
    <w:name w:val="Quote Char"/>
    <w:basedOn w:val="DefaultParagraphFont"/>
    <w:link w:val="Quote"/>
    <w:uiPriority w:val="29"/>
    <w:rsid w:val="00F47599"/>
    <w:rPr>
      <w:i/>
      <w:iCs/>
      <w:color w:val="404040" w:themeColor="text1" w:themeTint="BF"/>
    </w:rPr>
  </w:style>
  <w:style w:type="paragraph" w:styleId="ListParagraph">
    <w:name w:val="List Paragraph"/>
    <w:basedOn w:val="Normal"/>
    <w:uiPriority w:val="34"/>
    <w:qFormat/>
    <w:rsid w:val="00F47599"/>
    <w:pPr>
      <w:ind w:left="720"/>
      <w:contextualSpacing/>
    </w:pPr>
  </w:style>
  <w:style w:type="character" w:styleId="IntenseEmphasis">
    <w:name w:val="Intense Emphasis"/>
    <w:basedOn w:val="DefaultParagraphFont"/>
    <w:uiPriority w:val="21"/>
    <w:qFormat/>
    <w:rsid w:val="00F47599"/>
    <w:rPr>
      <w:i/>
      <w:iCs/>
      <w:color w:val="2F5496" w:themeColor="accent1" w:themeShade="BF"/>
    </w:rPr>
  </w:style>
  <w:style w:type="paragraph" w:styleId="IntenseQuote">
    <w:name w:val="Intense Quote"/>
    <w:basedOn w:val="Normal"/>
    <w:next w:val="Normal"/>
    <w:link w:val="IntenseQuoteChar"/>
    <w:uiPriority w:val="30"/>
    <w:qFormat/>
    <w:rsid w:val="00F475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599"/>
    <w:rPr>
      <w:i/>
      <w:iCs/>
      <w:color w:val="2F5496" w:themeColor="accent1" w:themeShade="BF"/>
    </w:rPr>
  </w:style>
  <w:style w:type="character" w:styleId="IntenseReference">
    <w:name w:val="Intense Reference"/>
    <w:basedOn w:val="DefaultParagraphFont"/>
    <w:uiPriority w:val="32"/>
    <w:qFormat/>
    <w:rsid w:val="00F47599"/>
    <w:rPr>
      <w:b/>
      <w:bCs/>
      <w:smallCaps/>
      <w:color w:val="2F5496" w:themeColor="accent1" w:themeShade="BF"/>
      <w:spacing w:val="5"/>
    </w:rPr>
  </w:style>
  <w:style w:type="paragraph" w:styleId="NormalWeb">
    <w:name w:val="Normal (Web)"/>
    <w:basedOn w:val="Normal"/>
    <w:uiPriority w:val="99"/>
    <w:semiHidden/>
    <w:unhideWhenUsed/>
    <w:rsid w:val="006F30B2"/>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6F30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656</Words>
  <Characters>4347</Characters>
  <Application>Microsoft Office Word</Application>
  <DocSecurity>0</DocSecurity>
  <Lines>92</Lines>
  <Paragraphs>50</Paragraphs>
  <ScaleCrop>false</ScaleCrop>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Kayvan Tirdad</dc:creator>
  <cp:keywords/>
  <dc:description/>
  <cp:lastModifiedBy>Kayvan Tirdad</cp:lastModifiedBy>
  <cp:revision>14</cp:revision>
  <dcterms:created xsi:type="dcterms:W3CDTF">2026-01-06T00:11:00Z</dcterms:created>
  <dcterms:modified xsi:type="dcterms:W3CDTF">2026-03-03T17:41:00Z</dcterms:modified>
</cp:coreProperties>
</file>