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Table 1 - Compliance Analysis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Clause</w:t>
            </w:r>
          </w:p>
        </w:tc>
        <w:tc>
          <w:tcPr>
            <w:tcW w:type="dxa" w:w="1234"/>
          </w:tcPr>
          <w:p>
            <w:r>
              <w:t>Requirement</w:t>
            </w:r>
          </w:p>
        </w:tc>
        <w:tc>
          <w:tcPr>
            <w:tcW w:type="dxa" w:w="1234"/>
          </w:tcPr>
          <w:p>
            <w:r>
              <w:t>Summary of Key Details</w:t>
            </w:r>
          </w:p>
        </w:tc>
        <w:tc>
          <w:tcPr>
            <w:tcW w:type="dxa" w:w="1234"/>
          </w:tcPr>
          <w:p>
            <w:r>
              <w:t>Status</w:t>
            </w:r>
          </w:p>
        </w:tc>
        <w:tc>
          <w:tcPr>
            <w:tcW w:type="dxa" w:w="1234"/>
          </w:tcPr>
          <w:p>
            <w:r>
              <w:t>Evidence</w:t>
            </w:r>
          </w:p>
        </w:tc>
        <w:tc>
          <w:tcPr>
            <w:tcW w:type="dxa" w:w="1234"/>
          </w:tcPr>
          <w:p>
            <w:r>
              <w:t>Assessor Remarks</w:t>
            </w:r>
          </w:p>
        </w:tc>
        <w:tc>
          <w:tcPr>
            <w:tcW w:type="dxa" w:w="1234"/>
          </w:tcPr>
          <w:p>
            <w:r>
              <w:t>Historical Action Taken</w:t>
            </w:r>
          </w:p>
        </w:tc>
      </w:tr>
      <w:tr>
        <w:tc>
          <w:tcPr>
            <w:tcW w:type="dxa" w:w="1234"/>
          </w:tcPr>
          <w:p>
            <w:r>
              <w:t>Payment Terms</w:t>
            </w:r>
          </w:p>
        </w:tc>
        <w:tc>
          <w:tcPr>
            <w:tcW w:type="dxa" w:w="1234"/>
          </w:tcPr>
          <w:p>
            <w:r>
              <w:t>45% Minimum Advance</w:t>
            </w:r>
          </w:p>
        </w:tc>
        <w:tc>
          <w:tcPr>
            <w:tcW w:type="dxa" w:w="1234"/>
          </w:tcPr>
          <w:p>
            <w:r>
              <w:t>Provisions regarding '45% Minimum Advance': This retention clause is not intended to reduce the agreed advance percentage but can affect payment timing.</w:t>
            </w:r>
          </w:p>
        </w:tc>
        <w:tc>
          <w:tcPr>
            <w:tcW w:type="dxa" w:w="1234"/>
          </w:tcPr>
          <w:p>
            <w:r>
              <w:t>Partially Met</w:t>
            </w:r>
          </w:p>
        </w:tc>
        <w:tc>
          <w:tcPr>
            <w:tcW w:type="dxa" w:w="1234"/>
          </w:tcPr>
          <w:p>
            <w:r>
              <w:t>This retention clause is not intended to reduce the agreed advance percentage but can</w:t>
              <w:br/>
              <w:t>affect payment timing.</w:t>
            </w:r>
          </w:p>
        </w:tc>
        <w:tc>
          <w:tcPr>
            <w:tcW w:type="dxa" w:w="1234"/>
          </w:tcPr>
          <w:p>
            <w:r>
              <w:t>Advance payment split across conditions</w:t>
            </w:r>
          </w:p>
        </w:tc>
        <w:tc>
          <w:tcPr>
            <w:tcW w:type="dxa" w:w="1234"/>
          </w:tcPr>
          <w:p>
            <w:r>
              <w:t>Historically, advance payment requirements were either approved as exceptional lump-sum releases to lock in pricing or escalated to the corporate finance board via rolling letters of credit when limits were breached.</w:t>
              <w:br/>
              <w:br/>
              <w:t>Historical Reference</w:t>
              <w:br/>
              <w:t>Sources:</w:t>
              <w:br/>
              <w:t>• d1.docx – Payment Terms</w:t>
              <w:br/>
              <w:t>• d2.docx – Payment Terms</w:t>
            </w:r>
          </w:p>
        </w:tc>
      </w:tr>
      <w:tr>
        <w:tc>
          <w:tcPr>
            <w:tcW w:type="dxa" w:w="1234"/>
          </w:tcPr>
          <w:p>
            <w:r>
              <w:t>Payment Terms</w:t>
            </w:r>
          </w:p>
        </w:tc>
        <w:tc>
          <w:tcPr>
            <w:tcW w:type="dxa" w:w="1234"/>
          </w:tcPr>
          <w:p>
            <w:r>
              <w:t>All payments Net 30 days from invoice</w:t>
            </w:r>
          </w:p>
        </w:tc>
        <w:tc>
          <w:tcPr>
            <w:tcW w:type="dxa" w:w="1234"/>
          </w:tcPr>
          <w:p>
            <w:r>
              <w:t>Provisions regarding 'All payments Net 30 days from invoice': 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234"/>
          </w:tcPr>
          <w:p>
            <w:r>
              <w:t>Partially Met</w:t>
            </w:r>
          </w:p>
        </w:tc>
        <w:tc>
          <w:tcPr>
            <w:tcW w:type="dxa" w:w="1234"/>
          </w:tcPr>
          <w:p>
            <w:r>
              <w:t>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234"/>
          </w:tcPr>
          <w:p>
            <w:r>
              <w:t>The 30-day payment term is present, but it is conditional upon the invoice being 'valid' and the 30-day trigger can be delayed until the completion of internal acceptance records (goods receipt, inspection release, etc.), meaning it is not a simple Net 30 from invoice date.</w:t>
            </w:r>
          </w:p>
        </w:tc>
        <w:tc>
          <w:tcPr>
            <w:tcW w:type="dxa" w:w="1234"/>
          </w:tcPr>
          <w:p>
            <w:r>
              <w:t>Deviations from the Net 30 standard were previously managed through executive waivers, granting extended payment terms in exchange for price discounts.</w:t>
              <w:br/>
              <w:br/>
              <w:t>Historical Reference</w:t>
              <w:br/>
              <w:t>Source:</w:t>
              <w:br/>
              <w:t>d1.docx</w:t>
              <w:br/>
              <w:t>Clause: Payment Terms</w:t>
              <w:br/>
              <w:t>Requirement: All payments Net 30 days from invoice</w:t>
              <w:br/>
              <w:br/>
              <w:t>Quote:</w:t>
              <w:br/>
              <w:t>"Vendor wording accepted via executive waiver; extended terms granted in exchange for a 2% price discount."</w:t>
            </w:r>
          </w:p>
        </w:tc>
      </w:tr>
      <w:tr>
        <w:tc>
          <w:tcPr>
            <w:tcW w:type="dxa" w:w="1234"/>
          </w:tcPr>
          <w:p>
            <w:r>
              <w:t>Payment Terms</w:t>
            </w:r>
          </w:p>
        </w:tc>
        <w:tc>
          <w:tcPr>
            <w:tcW w:type="dxa" w:w="1234"/>
          </w:tcPr>
          <w:p>
            <w:r>
              <w:t>Partial delivery and invoicing allowed</w:t>
            </w:r>
          </w:p>
        </w:tc>
        <w:tc>
          <w:tcPr>
            <w:tcW w:type="dxa" w:w="1234"/>
          </w:tcPr>
          <w:p>
            <w:r>
              <w:t>Provisions regarding 'Partial delivery and invoicing allowed': Supplier may dispatch Lot A, Lot B, and Lot C separately and may raise a corresponding invoice for each completed lot.</w:t>
            </w:r>
          </w:p>
        </w:tc>
        <w:tc>
          <w:tcPr>
            <w:tcW w:type="dxa" w:w="1234"/>
          </w:tcPr>
          <w:p>
            <w:r>
              <w:t>Met</w:t>
            </w:r>
          </w:p>
        </w:tc>
        <w:tc>
          <w:tcPr>
            <w:tcW w:type="dxa" w:w="1234"/>
          </w:tcPr>
          <w:p>
            <w:r>
              <w:t>Supplier may dispatch Lot A, Lot B, and Lot C separately and may raise a corresponding invoice for each completed lot.</w:t>
            </w:r>
          </w:p>
        </w:tc>
        <w:tc>
          <w:tcPr>
            <w:tcW w:type="dxa" w:w="1234"/>
          </w:tcPr>
          <w:p>
            <w:r>
              <w:t>The clause explicitly permits separate dispatch of lots and corresponding invoicing for each, satisfying the requirement for partial delivery and invoicing.</w:t>
            </w:r>
          </w:p>
        </w:tc>
        <w:tc>
          <w:tcPr>
            <w:tcW w:type="dxa" w:w="1234"/>
          </w:tcPr>
          <w:p>
            <w:r>
              <w:t>Past resolutions for partial delivery and invoicing included updating clauses based on review board feedback or accepting non-compliance via executive waivers to maintain sole-source exclusivity.</w:t>
              <w:br/>
              <w:br/>
              <w:t>Historical Reference</w:t>
              <w:br/>
              <w:t>Sources:</w:t>
              <w:br/>
              <w:t>• d1.docx – Payment Terms</w:t>
              <w:br/>
              <w:t>• d2.docx – Payment Terms</w:t>
            </w:r>
          </w:p>
        </w:tc>
      </w:tr>
      <w:tr>
        <w:tc>
          <w:tcPr>
            <w:tcW w:type="dxa" w:w="1234"/>
          </w:tcPr>
          <w:p>
            <w:r>
              <w:t>Bank Guarantees</w:t>
            </w:r>
          </w:p>
        </w:tc>
        <w:tc>
          <w:tcPr>
            <w:tcW w:type="dxa" w:w="1234"/>
          </w:tcPr>
          <w:p>
            <w:r>
              <w:t>Performance Guarantee not exceeding 10%</w:t>
            </w:r>
          </w:p>
        </w:tc>
        <w:tc>
          <w:tcPr>
            <w:tcW w:type="dxa" w:w="1234"/>
          </w:tcPr>
          <w:p>
            <w:r>
              <w:t>Provisions regarding 'Performance Guarantee not exceeding 10%': In addition to the guarantee in Article 00511. 1, Supplier shall furnish a temporary bridge performance guarantee equal to two percent (2%) of the Purchase Order value from the date of the first advance tranche until the earlier of successful FAT release or first dispatch.</w:t>
            </w:r>
          </w:p>
        </w:tc>
        <w:tc>
          <w:tcPr>
            <w:tcW w:type="dxa" w:w="1234"/>
          </w:tcPr>
          <w:p>
            <w:r>
              <w:t>Not Met</w:t>
            </w:r>
          </w:p>
        </w:tc>
        <w:tc>
          <w:tcPr>
            <w:tcW w:type="dxa" w:w="1234"/>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c>
          <w:tcPr>
            <w:tcW w:type="dxa" w:w="1234"/>
          </w:tcPr>
          <w:p>
            <w:r>
              <w:t>Total security obligations found: 12.0%</w:t>
            </w:r>
          </w:p>
        </w:tc>
        <w:tc>
          <w:tcPr>
            <w:tcW w:type="dxa" w:w="1234"/>
          </w:tcPr>
          <w:p>
            <w:r>
              <w:t>Performance security was previously reduced via legal override following the submission and review of the vendor's audited global asset records.</w:t>
              <w:br/>
              <w:br/>
              <w:t>Historical Reference</w:t>
              <w:br/>
              <w:t>Source:</w:t>
              <w:br/>
              <w:t>d1.docx</w:t>
              <w:br/>
              <w:t>Clause: Bank Guarantees</w:t>
              <w:br/>
              <w:t>Requirement: Performance Guarantee not exceeding 10%</w:t>
              <w:br/>
              <w:br/>
              <w:t>Quote:</w:t>
              <w:br/>
              <w:t>"Reduced performance security via legal override after vendor submitted audited global asset records."</w:t>
            </w:r>
          </w:p>
        </w:tc>
      </w:tr>
      <w:tr>
        <w:tc>
          <w:tcPr>
            <w:tcW w:type="dxa" w:w="1234"/>
          </w:tcPr>
          <w:p>
            <w:r>
              <w:t>Bank Guarantees</w:t>
            </w:r>
          </w:p>
        </w:tc>
        <w:tc>
          <w:tcPr>
            <w:tcW w:type="dxa" w:w="1234"/>
          </w:tcPr>
          <w:p>
            <w:r>
              <w:t>Bank Guarantee validity period defined</w:t>
            </w:r>
          </w:p>
        </w:tc>
        <w:tc>
          <w:tcPr>
            <w:tcW w:type="dxa" w:w="1234"/>
          </w:tcPr>
          <w:p>
            <w:r>
              <w:t>Provisions regarding 'Bank Guarantee validity period defined': Supplier shall furnish an unconditional performance bank guarantee equal to ten percent (10%) of the Purchase Order value, valid until expiry of the standard guarantee period plus ninety (90) days.</w:t>
            </w:r>
          </w:p>
        </w:tc>
        <w:tc>
          <w:tcPr>
            <w:tcW w:type="dxa" w:w="1234"/>
          </w:tcPr>
          <w:p>
            <w:r>
              <w:t>Met</w:t>
            </w:r>
          </w:p>
        </w:tc>
        <w:tc>
          <w:tcPr>
            <w:tcW w:type="dxa" w:w="1234"/>
          </w:tcPr>
          <w:p>
            <w:r>
              <w:t>Supplier shall furnish an unconditional performance bank guarantee equal to ten percent (10%)</w:t>
              <w:br/>
              <w:t>of the Purchase Order value, valid until expiry of the standard guarantee period plus ninety (90) days.</w:t>
            </w:r>
          </w:p>
        </w:tc>
        <w:tc>
          <w:tcPr>
            <w:tcW w:type="dxa" w:w="1234"/>
          </w:tcPr>
          <w:p>
            <w:r>
              <w:t>Supplier shall furnish an unconditional performance bank guarantee equal to ten percent (10%)</w:t>
              <w:br/>
              <w:t>of the Purchase Order value, valid until expiry of the standard guarantee period plus ninety (90) days.</w:t>
            </w:r>
          </w:p>
        </w:tc>
        <w:tc>
          <w:tcPr>
            <w:tcW w:type="dxa" w:w="1234"/>
          </w:tcPr>
          <w:p>
            <w:r>
              <w:t>Past gaps in validity periods were addressed through internal audits, resulting in either deferred remediation in amendment cycles or formal demands for immediate correction of expiry dates.</w:t>
              <w:br/>
              <w:br/>
              <w:t>Historical Reference</w:t>
              <w:br/>
              <w:t>Sources:</w:t>
              <w:br/>
              <w:t>• d1.docx – Bank Guarantees</w:t>
              <w:br/>
              <w:t>• d2.docx – Bank Guarantees</w:t>
            </w:r>
          </w:p>
        </w:tc>
      </w:tr>
      <w:tr>
        <w:tc>
          <w:tcPr>
            <w:tcW w:type="dxa" w:w="1234"/>
          </w:tcPr>
          <w:p>
            <w:r>
              <w:t>Liquidated Damages</w:t>
            </w:r>
          </w:p>
        </w:tc>
        <w:tc>
          <w:tcPr>
            <w:tcW w:type="dxa" w:w="1234"/>
          </w:tcPr>
          <w:p>
            <w:r>
              <w:t>Documentation LD not applicable</w:t>
            </w:r>
          </w:p>
        </w:tc>
        <w:tc>
          <w:tcPr>
            <w:tcW w:type="dxa" w:w="1234"/>
          </w:tcPr>
          <w:p>
            <w:r>
              <w:t>Provisions regarding 'Documentation LD not applicable':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Historically, documentation-related penalties were removed from the text or flagged for risk-mitigation monitoring to ensure administrative delays do not trigger financial LDs.</w:t>
              <w:br/>
              <w:br/>
              <w:t>Historical Reference</w:t>
              <w:br/>
              <w:t>Sources:</w:t>
              <w:br/>
              <w:t>• d1.docx – Liquidated Damages</w:t>
              <w:br/>
              <w:t>• d2.docx – Liquidated Damages</w:t>
            </w:r>
          </w:p>
        </w:tc>
      </w:tr>
      <w:tr>
        <w:tc>
          <w:tcPr>
            <w:tcW w:type="dxa" w:w="1234"/>
          </w:tcPr>
          <w:p>
            <w:r>
              <w:t>Liquidated Damages</w:t>
            </w:r>
          </w:p>
        </w:tc>
        <w:tc>
          <w:tcPr>
            <w:tcW w:type="dxa" w:w="1234"/>
          </w:tcPr>
          <w:p>
            <w:r>
              <w:t>Equipment Delivery LD 0.5% per week</w:t>
            </w:r>
          </w:p>
        </w:tc>
        <w:tc>
          <w:tcPr>
            <w:tcW w:type="dxa" w:w="1234"/>
          </w:tcPr>
          <w:p>
            <w:r>
              <w:t>Provisions regarding 'Equipment Delivery LD 0.5% per week':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Standard 0.5% weekly rates have been validated by legal teams, while aggressive rates (e.g., 1.0%) were flagged for negotiation via vendor working groups.</w:t>
              <w:br/>
              <w:br/>
              <w:t>Historical Reference</w:t>
              <w:br/>
              <w:t>Sources:</w:t>
              <w:br/>
              <w:t>• d1.docx – Liquidated Damages</w:t>
              <w:br/>
              <w:t>• d2.docx – Liquidated Damages</w:t>
            </w:r>
          </w:p>
        </w:tc>
      </w:tr>
      <w:tr>
        <w:tc>
          <w:tcPr>
            <w:tcW w:type="dxa" w:w="1234"/>
          </w:tcPr>
          <w:p>
            <w:r>
              <w:t>Liquidated Damages</w:t>
            </w:r>
          </w:p>
        </w:tc>
        <w:tc>
          <w:tcPr>
            <w:tcW w:type="dxa" w:w="1234"/>
          </w:tcPr>
          <w:p>
            <w:r>
              <w:t>Equipment Delivery LD capped at 5%</w:t>
            </w:r>
          </w:p>
        </w:tc>
        <w:tc>
          <w:tcPr>
            <w:tcW w:type="dxa" w:w="1234"/>
          </w:tcPr>
          <w:p>
            <w:r>
              <w:t>Provisions regarding 'Equipment Delivery LD capped at 5%':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Efforts focused on establishing clear component-level boundaries or renegotiating uncapped positions into an aggregate framework to limit exposure on sub-assemblies.</w:t>
              <w:br/>
              <w:br/>
              <w:t>Historical Reference</w:t>
              <w:br/>
              <w:t>Sources:</w:t>
              <w:br/>
              <w:t>• d1.docx – Liquidated Damages</w:t>
              <w:br/>
              <w:t>• d2.docx – Liquidated Damages</w:t>
            </w:r>
          </w:p>
        </w:tc>
      </w:tr>
      <w:tr>
        <w:tc>
          <w:tcPr>
            <w:tcW w:type="dxa" w:w="1234"/>
          </w:tcPr>
          <w:p>
            <w:r>
              <w:t>Liquidated Damages</w:t>
            </w:r>
          </w:p>
        </w:tc>
        <w:tc>
          <w:tcPr>
            <w:tcW w:type="dxa" w:w="1234"/>
          </w:tcPr>
          <w:p>
            <w:r>
              <w:t>Aggregate LD capped at 5% PO value</w:t>
            </w:r>
          </w:p>
        </w:tc>
        <w:tc>
          <w:tcPr>
            <w:tcW w:type="dxa" w:w="1234"/>
          </w:tcPr>
          <w:p>
            <w:r>
              <w:t>Provisions regarding 'Aggregate LD capped at 5% PO value': For delay in delivery of equipment beyond the contractual delivery date, Supplier shall pay liquidated damages at zero point five percent (0. 5%) of the value of the undelivered part per completed week of delay.</w:t>
            </w:r>
          </w:p>
        </w:tc>
        <w:tc>
          <w:tcPr>
            <w:tcW w:type="dxa" w:w="1234"/>
          </w:tcPr>
          <w:p>
            <w:r>
              <w:t>Not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Found 7.5% cap</w:t>
            </w:r>
          </w:p>
        </w:tc>
        <w:tc>
          <w:tcPr>
            <w:tcW w:type="dxa" w:w="1234"/>
          </w:tcPr>
          <w:p>
            <w:r>
              <w:t>Absolute 5% ceilings for total cumulative liability were established during global commercial settlements to satisfy corporate risk limits.</w:t>
              <w:br/>
              <w:br/>
              <w:t>Historical Reference</w:t>
              <w:br/>
              <w:t>Source:</w:t>
              <w:br/>
              <w:t>d1.docx</w:t>
              <w:br/>
              <w:t>Clause: Liquidated Damages</w:t>
              <w:br/>
              <w:t>Requirement: Aggregate LD capped at 5% PO value</w:t>
              <w:br/>
              <w:br/>
              <w:t>Quote:</w:t>
              <w:br/>
              <w:t>"Negotiated lower LD cap and established absolute 5% ceiling during global commercial settlement."</w:t>
            </w:r>
          </w:p>
        </w:tc>
      </w:tr>
      <w:tr>
        <w:tc>
          <w:tcPr>
            <w:tcW w:type="dxa" w:w="1234"/>
          </w:tcPr>
          <w:p>
            <w:r>
              <w:t>Liquidated Damages</w:t>
            </w:r>
          </w:p>
        </w:tc>
        <w:tc>
          <w:tcPr>
            <w:tcW w:type="dxa" w:w="1234"/>
          </w:tcPr>
          <w:p>
            <w:r>
              <w:t>Remedial Work LD not applicable</w:t>
            </w:r>
          </w:p>
        </w:tc>
        <w:tc>
          <w:tcPr>
            <w:tcW w:type="dxa" w:w="1234"/>
          </w:tcPr>
          <w:p>
            <w:r>
              <w:t>Provisions regarding 'Remedial Work LD not applicable':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Procurement teams have implemented corrective actions to remove conditional dependencies, ensuring penalties do not accrue during active engineering remediation.</w:t>
              <w:br/>
              <w:br/>
              <w:t>Historical Reference</w:t>
              <w:br/>
              <w:t>Sources:</w:t>
              <w:br/>
              <w:t>• d1.docx – Liquidated Damages</w:t>
              <w:br/>
              <w:t>• d2.docx – Liquidated Damages</w:t>
            </w:r>
          </w:p>
        </w:tc>
      </w:tr>
      <w:tr>
        <w:tc>
          <w:tcPr>
            <w:tcW w:type="dxa" w:w="1234"/>
          </w:tcPr>
          <w:p>
            <w:r>
              <w:t>Guarantee</w:t>
            </w:r>
          </w:p>
        </w:tc>
        <w:tc>
          <w:tcPr>
            <w:tcW w:type="dxa" w:w="1234"/>
          </w:tcPr>
          <w:p>
            <w:r>
              <w:t>Warranty period defined</w:t>
            </w:r>
          </w:p>
        </w:tc>
        <w:tc>
          <w:tcPr>
            <w:tcW w:type="dxa" w:w="1234"/>
          </w:tcPr>
          <w:p>
            <w:r>
              <w:t>Provisions regarding 'Warranty period defined':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Commercial teams historically secured extended warranty periods by negotiating reciprocal adjustments to maritime shipping or intellectual property clauses.</w:t>
              <w:br/>
              <w:br/>
              <w:t>Historical Reference</w:t>
              <w:br/>
              <w:t>Sources:</w:t>
              <w:br/>
              <w:t>• d1.docx – Guarantee</w:t>
              <w:br/>
              <w:t>• d2.docx – Guarantee</w:t>
            </w:r>
          </w:p>
        </w:tc>
      </w:tr>
      <w:tr>
        <w:tc>
          <w:tcPr>
            <w:tcW w:type="dxa" w:w="1234"/>
          </w:tcPr>
          <w:p>
            <w:r>
              <w:t>Guarantee</w:t>
            </w:r>
          </w:p>
        </w:tc>
        <w:tc>
          <w:tcPr>
            <w:tcW w:type="dxa" w:w="1234"/>
          </w:tcPr>
          <w:p>
            <w:r>
              <w:t>2 months from commissioning or 18 months from dispatch</w:t>
            </w:r>
          </w:p>
        </w:tc>
        <w:tc>
          <w:tcPr>
            <w:tcW w:type="dxa" w:w="1234"/>
          </w:tcPr>
          <w:p>
            <w:r>
              <w:t>Provisions regarding '2 months from commissioning or 18 months from dispatch':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Non-compliant timelines were either escalated to the Project Director for corporate risk acceptance or renegotiated during legal review to address environmental voidance clauses.</w:t>
              <w:br/>
              <w:br/>
              <w:t>Historical Reference</w:t>
              <w:br/>
              <w:t>Sources:</w:t>
              <w:br/>
              <w:t>• d1.docx – Guarantee</w:t>
              <w:br/>
              <w:t>• d2.docx – Guarantee</w:t>
            </w:r>
          </w:p>
        </w:tc>
      </w:tr>
      <w:tr>
        <w:tc>
          <w:tcPr>
            <w:tcW w:type="dxa" w:w="1234"/>
          </w:tcPr>
          <w:p>
            <w:r>
              <w:t>Guarantee</w:t>
            </w:r>
          </w:p>
        </w:tc>
        <w:tc>
          <w:tcPr>
            <w:tcW w:type="dxa" w:w="1234"/>
          </w:tcPr>
          <w:p>
            <w:r>
              <w:t>Repair/replacement warranty obligations defined</w:t>
            </w:r>
          </w:p>
        </w:tc>
        <w:tc>
          <w:tcPr>
            <w:tcW w:type="dxa" w:w="1234"/>
          </w:tcPr>
          <w:p>
            <w:r>
              <w:t>Provisions regarding 'Repair/replacement warranty obligations defined':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Warranty coverage limits for repaired components were refined during final engineering alignment meetings and finalized through legal closure.</w:t>
              <w:br/>
              <w:br/>
              <w:t>Historical Reference</w:t>
              <w:br/>
              <w:t>Source:</w:t>
              <w:br/>
              <w:t>d1.docx</w:t>
              <w:br/>
              <w:t>Clause: Guarantee</w:t>
              <w:br/>
              <w:t>Requirement: Repair/replacement warranty obligations defined</w:t>
              <w:br/>
              <w:br/>
              <w:t>Quote:</w:t>
              <w:br/>
              <w:t>"Revised warranty coverage limits during final engineering alignment meetings; closed by legal."</w:t>
            </w:r>
          </w:p>
        </w:tc>
      </w:tr>
      <w:tr>
        <w:tc>
          <w:tcPr>
            <w:tcW w:type="dxa" w:w="1234"/>
          </w:tcPr>
          <w:p>
            <w:r>
              <w:t>Force Majeure</w:t>
            </w:r>
          </w:p>
        </w:tc>
        <w:tc>
          <w:tcPr>
            <w:tcW w:type="dxa" w:w="1234"/>
          </w:tcPr>
          <w:p>
            <w:r>
              <w:t>Force majeure events defined</w:t>
            </w:r>
          </w:p>
        </w:tc>
        <w:tc>
          <w:tcPr>
            <w:tcW w:type="dxa" w:w="1234"/>
          </w:tcPr>
          <w:p>
            <w:r>
              <w:t>Provisions regarding 'Force majeure events defined': Supplier may claim Force Majeure relief for events affecting only the Tier-1 critical sub-suppliers named in Annex D or the approved international logistics carrier.</w:t>
            </w:r>
          </w:p>
        </w:tc>
        <w:tc>
          <w:tcPr>
            <w:tcW w:type="dxa" w:w="1234"/>
          </w:tcPr>
          <w:p>
            <w:r>
              <w:t>Partially Met</w:t>
            </w:r>
          </w:p>
        </w:tc>
        <w:tc>
          <w:tcPr>
            <w:tcW w:type="dxa" w:w="1234"/>
          </w:tcPr>
          <w:p>
            <w:r>
              <w:t>Supplier may claim Force Majeure relief for events affecting only the Tier-1 critical sub-suppliers named</w:t>
              <w:br/>
              <w:t>in Annex D or the approved international logistics carrier.</w:t>
            </w:r>
          </w:p>
        </w:tc>
        <w:tc>
          <w:tcPr>
            <w:tcW w:type="dxa" w:w="1234"/>
          </w:tcPr>
          <w:p>
            <w:r>
              <w:t>Clause contains material limitations, exceptions, carve-outs, conditions, or restricted applicability</w:t>
            </w:r>
          </w:p>
        </w:tc>
        <w:tc>
          <w:tcPr>
            <w:tcW w:type="dxa" w:w="1234"/>
          </w:tcPr>
          <w:p>
            <w:r>
              <w:t>Definitions were expanded to include regional power grid collapses and standardized across baseline drafts to ensure alignment with international trade baselines.</w:t>
              <w:br/>
              <w:br/>
              <w:t>Historical Reference</w:t>
              <w:br/>
              <w:t>Sources:</w:t>
              <w:br/>
              <w:t>• d1.docx – Force Majeure</w:t>
              <w:br/>
              <w:t>• d2.docx – Force Majeure</w:t>
            </w:r>
          </w:p>
        </w:tc>
      </w:tr>
      <w:tr>
        <w:tc>
          <w:tcPr>
            <w:tcW w:type="dxa" w:w="1234"/>
          </w:tcPr>
          <w:p>
            <w:r>
              <w:t>Force Majeure</w:t>
            </w:r>
          </w:p>
        </w:tc>
        <w:tc>
          <w:tcPr>
            <w:tcW w:type="dxa" w:w="1234"/>
          </w:tcPr>
          <w:p>
            <w:r>
              <w:t>Applies to subcontractors</w:t>
            </w:r>
          </w:p>
        </w:tc>
        <w:tc>
          <w:tcPr>
            <w:tcW w:type="dxa" w:w="1234"/>
          </w:tcPr>
          <w:p>
            <w:r>
              <w:t>Provisions regarding 'Applies to subcontractors': Force majeure applies only to named Tier-1 / approved suppliers.</w:t>
            </w:r>
          </w:p>
        </w:tc>
        <w:tc>
          <w:tcPr>
            <w:tcW w:type="dxa" w:w="1234"/>
          </w:tcPr>
          <w:p>
            <w:r>
              <w:t>Partially Met</w:t>
            </w:r>
          </w:p>
        </w:tc>
        <w:tc>
          <w:tcPr>
            <w:tcW w:type="dxa" w:w="1234"/>
          </w:tcPr>
          <w:p>
            <w:r>
              <w:t>Force majeure applies only to named Tier-1 / approved suppliers</w:t>
            </w:r>
          </w:p>
        </w:tc>
        <w:tc>
          <w:tcPr>
            <w:tcW w:type="dxa" w:w="1234"/>
          </w:tcPr>
          <w:p>
            <w:r>
              <w:t>Applies only to specific suppliers</w:t>
            </w:r>
          </w:p>
        </w:tc>
        <w:tc>
          <w:tcPr>
            <w:tcW w:type="dxa" w:w="1234"/>
          </w:tcPr>
          <w:p>
            <w:r>
              <w:t>Wording was adjusted following a subcontractor compliance review to ensure relief explicitly extends to all approved subcontractors and component suppliers.</w:t>
              <w:br/>
              <w:br/>
              <w:t>Historical Reference</w:t>
              <w:br/>
              <w:t>Source:</w:t>
              <w:br/>
              <w:t>d1.docx</w:t>
              <w:br/>
              <w:t>Clause: Force Majeure</w:t>
              <w:br/>
              <w:t>Requirement: Applies to subcontractors</w:t>
              <w:br/>
              <w:br/>
              <w:t>Quote:</w:t>
              <w:br/>
              <w:t>"Wording adjusted after subcontractor compliance review; closed after formal execution of Amendment 2."</w:t>
            </w:r>
          </w:p>
        </w:tc>
      </w:tr>
      <w:tr>
        <w:tc>
          <w:tcPr>
            <w:tcW w:type="dxa" w:w="1234"/>
          </w:tcPr>
          <w:p>
            <w:r>
              <w:t>Force Majeure</w:t>
            </w:r>
          </w:p>
        </w:tc>
        <w:tc>
          <w:tcPr>
            <w:tcW w:type="dxa" w:w="1234"/>
          </w:tcPr>
          <w:p>
            <w:r>
              <w:t>Notice obligations defined</w:t>
            </w:r>
          </w:p>
        </w:tc>
        <w:tc>
          <w:tcPr>
            <w:tcW w:type="dxa" w:w="1234"/>
          </w:tcPr>
          <w:p>
            <w:r>
              <w:t>Provisions regarding 'Notice obligations defined': Supplier may claim Force Majeure relief for events affecting only the Tier-1 critical sub-suppliers named in Annex D or the approved international logistics carrier.</w:t>
            </w:r>
          </w:p>
        </w:tc>
        <w:tc>
          <w:tcPr>
            <w:tcW w:type="dxa" w:w="1234"/>
          </w:tcPr>
          <w:p>
            <w:r>
              <w:t>Partially Met</w:t>
            </w:r>
          </w:p>
        </w:tc>
        <w:tc>
          <w:tcPr>
            <w:tcW w:type="dxa" w:w="1234"/>
          </w:tcPr>
          <w:p>
            <w:r>
              <w:t>Supplier may claim Force Majeure relief for events affecting only the Tier-1 critical sub-suppliers named</w:t>
              <w:br/>
              <w:t>in Annex D or the approved international logistics carrier.</w:t>
            </w:r>
          </w:p>
        </w:tc>
        <w:tc>
          <w:tcPr>
            <w:tcW w:type="dxa" w:w="1234"/>
          </w:tcPr>
          <w:p>
            <w:r>
              <w:t>Clause contains material limitations, exceptions, carve-outs, conditions, or restricted applicability</w:t>
            </w:r>
          </w:p>
        </w:tc>
        <w:tc>
          <w:tcPr>
            <w:tcW w:type="dxa" w:w="1234"/>
          </w:tcPr>
          <w:p>
            <w:r>
              <w:t>Aggressive 24-hour notification windows were flagged during audits and subsequently simplified to more realistic timelines, such as 72 hours or five business days.</w:t>
              <w:br/>
              <w:br/>
              <w:t>Historical Reference</w:t>
              <w:br/>
              <w:t>Sources:</w:t>
              <w:br/>
              <w:t>• d1.docx – Force Majeure</w:t>
              <w:br/>
              <w:t>• d2.docx – Force Majeure</w:t>
            </w:r>
          </w:p>
        </w:tc>
      </w:tr>
      <w:tr>
        <w:tc>
          <w:tcPr>
            <w:tcW w:type="dxa" w:w="1234"/>
          </w:tcPr>
          <w:p>
            <w:r>
              <w:t>Termination</w:t>
            </w:r>
          </w:p>
        </w:tc>
        <w:tc>
          <w:tcPr>
            <w:tcW w:type="dxa" w:w="1234"/>
          </w:tcPr>
          <w:p>
            <w:r>
              <w:t>Termination rights defined</w:t>
            </w:r>
          </w:p>
        </w:tc>
        <w:tc>
          <w:tcPr>
            <w:tcW w:type="dxa" w:w="1234"/>
          </w:tcPr>
          <w:p>
            <w:r>
              <w:t>Provisions regarding 'Termination rights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234"/>
          </w:tcPr>
          <w:p>
            <w:r>
              <w:t>Met</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Historically, termination rights were refined to balance buyer default mechanisms with supplier-initiated pathways to prevent legal imbalances during funding stalls.</w:t>
              <w:br/>
              <w:br/>
              <w:t>Historical Reference</w:t>
              <w:br/>
              <w:t>Sources:</w:t>
              <w:br/>
              <w:t>• d1.docx – Termination</w:t>
              <w:br/>
              <w:t>• d2.docx – Termination</w:t>
            </w:r>
          </w:p>
        </w:tc>
      </w:tr>
      <w:tr>
        <w:tc>
          <w:tcPr>
            <w:tcW w:type="dxa" w:w="1234"/>
          </w:tcPr>
          <w:p>
            <w:r>
              <w:t>Termination</w:t>
            </w:r>
          </w:p>
        </w:tc>
        <w:tc>
          <w:tcPr>
            <w:tcW w:type="dxa" w:w="1234"/>
          </w:tcPr>
          <w:p>
            <w:r>
              <w:t>Cancellation fee structure defined</w:t>
            </w:r>
          </w:p>
        </w:tc>
        <w:tc>
          <w:tcPr>
            <w:tcW w:type="dxa" w:w="1234"/>
          </w:tcPr>
          <w:p>
            <w:r>
              <w:t>Provisions regarding 'Cancellation fee structure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234"/>
          </w:tcPr>
          <w:p>
            <w:r>
              <w:t>Met</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Past efforts focused on transitioning from rigid flat-rate lump sums to dynamic, itemized milestone tracking to better protect material engineering investments.</w:t>
              <w:br/>
              <w:br/>
              <w:t>Historical Reference</w:t>
              <w:br/>
              <w:t>Sources:</w:t>
              <w:br/>
              <w:t>• d1.docx – Termination</w:t>
              <w:br/>
              <w:t>• d2.docx – Termination</w:t>
            </w:r>
          </w:p>
        </w:tc>
      </w:tr>
      <w:tr>
        <w:tc>
          <w:tcPr>
            <w:tcW w:type="dxa" w:w="1234"/>
          </w:tcPr>
          <w:p>
            <w:r>
              <w:t>Termination</w:t>
            </w:r>
          </w:p>
        </w:tc>
        <w:tc>
          <w:tcPr>
            <w:tcW w:type="dxa" w:w="1234"/>
          </w:tcPr>
          <w:p>
            <w:r>
              <w:t>61-90 day cancellation fee 40%</w:t>
            </w:r>
          </w:p>
        </w:tc>
        <w:tc>
          <w:tcPr>
            <w:tcW w:type="dxa" w:w="1234"/>
          </w:tcPr>
          <w:p>
            <w:r>
              <w:t>Provisions regarding '61-90 day cancellation fee 40%': Article 00511. 9 - Cancellation and Early Termination Fee.</w:t>
            </w:r>
          </w:p>
        </w:tc>
        <w:tc>
          <w:tcPr>
            <w:tcW w:type="dxa" w:w="1234"/>
          </w:tcPr>
          <w:p>
            <w:r>
              <w:t>Not Met</w:t>
            </w:r>
          </w:p>
        </w:tc>
        <w:tc>
          <w:tcPr>
            <w:tcW w:type="dxa" w:w="1234"/>
          </w:tcPr>
          <w:p>
            <w:r>
              <w:t>Article 00511.9 - Cancellation and Early Termination Fee</w:t>
            </w:r>
          </w:p>
        </w:tc>
        <w:tc>
          <w:tcPr>
            <w:tcW w:type="dxa" w:w="1234"/>
          </w:tcPr>
          <w:p>
            <w:r>
              <w:t>Required 40.0% not found</w:t>
            </w:r>
          </w:p>
        </w:tc>
        <w:tc>
          <w:tcPr>
            <w:tcW w:type="dxa" w:w="1234"/>
          </w:tcPr>
          <w:p>
            <w:r>
              <w:t>Previous iterations involved re-aligning baseline percentages during pre-signature reviews to ensure strict adherence to corporate material recovery guidelines.</w:t>
              <w:br/>
              <w:br/>
              <w:t>Historical Reference</w:t>
              <w:br/>
              <w:t>Source:</w:t>
              <w:br/>
              <w:t>d1.docx</w:t>
              <w:br/>
              <w:t>Clause: Termination</w:t>
              <w:br/>
              <w:t>Requirement: 61-90 day cancellation fee 40%</w:t>
              <w:br/>
              <w:br/>
              <w:t>Quote:</w:t>
              <w:br/>
              <w:t>"Baseline percentages re-aligned and corrected during pre-signature document formatting review."</w:t>
            </w:r>
          </w:p>
        </w:tc>
      </w:tr>
      <w:tr>
        <w:tc>
          <w:tcPr>
            <w:tcW w:type="dxa" w:w="1234"/>
          </w:tcPr>
          <w:p>
            <w:r>
              <w:t>Suspension</w:t>
            </w:r>
          </w:p>
        </w:tc>
        <w:tc>
          <w:tcPr>
            <w:tcW w:type="dxa" w:w="1234"/>
          </w:tcPr>
          <w:p>
            <w:r>
              <w:t>Maximum 2 suspensions and 30 days aggregate</w:t>
            </w:r>
          </w:p>
        </w:tc>
        <w:tc>
          <w:tcPr>
            <w:tcW w:type="dxa" w:w="1234"/>
          </w:tcPr>
          <w:p>
            <w:r>
              <w:t>Provisions regarding 'Maximum 2 suspensions and 30 days aggregate': Suspension limits exclude regulatory, government, legal, and safety stoppages.</w:t>
            </w:r>
          </w:p>
        </w:tc>
        <w:tc>
          <w:tcPr>
            <w:tcW w:type="dxa" w:w="1234"/>
          </w:tcPr>
          <w:p>
            <w:r>
              <w:t>Partially Met</w:t>
            </w:r>
          </w:p>
        </w:tc>
        <w:tc>
          <w:tcPr>
            <w:tcW w:type="dxa" w:w="1234"/>
          </w:tcPr>
          <w:p>
            <w:r>
              <w:t>Suspension limits exclude regulatory, government, legal, and safety stoppages</w:t>
            </w:r>
          </w:p>
        </w:tc>
        <w:tc>
          <w:tcPr>
            <w:tcW w:type="dxa" w:w="1234"/>
          </w:tcPr>
          <w:p>
            <w:r>
              <w:t>Certain suspension categories excluded from limit</w:t>
            </w:r>
          </w:p>
        </w:tc>
        <w:tc>
          <w:tcPr>
            <w:tcW w:type="dxa" w:w="1234"/>
          </w:tcPr>
          <w:p>
            <w:r>
              <w:t>Implemented a formal suspension approval workflow and established hard duration limits following a review of previous contract disputes.</w:t>
              <w:br/>
              <w:br/>
              <w:t>Historical Reference</w:t>
              <w:br/>
              <w:t>Source:</w:t>
              <w:br/>
              <w:t>d1.docx</w:t>
              <w:br/>
              <w:t>Clause: Suspension</w:t>
              <w:br/>
              <w:t>Requirement: Maximum 2 suspensions and 30 days aggregate</w:t>
              <w:br/>
              <w:br/>
              <w:t>Quote:</w:t>
              <w:br/>
              <w:t>"Added suspension approval workflow and hard duration limits after prior contract dispute review."</w:t>
            </w:r>
          </w:p>
        </w:tc>
      </w:tr>
      <w:tr>
        <w:tc>
          <w:tcPr>
            <w:tcW w:type="dxa" w:w="1234"/>
          </w:tcPr>
          <w:p>
            <w:r>
              <w:t>Suspension</w:t>
            </w:r>
          </w:p>
        </w:tc>
        <w:tc>
          <w:tcPr>
            <w:tcW w:type="dxa" w:w="1234"/>
          </w:tcPr>
          <w:p>
            <w:r>
              <w:t>Supplier obligations during suspension defined</w:t>
            </w:r>
          </w:p>
        </w:tc>
        <w:tc>
          <w:tcPr>
            <w:tcW w:type="dxa" w:w="1234"/>
          </w:tcPr>
          <w:p>
            <w:r>
              <w:t>Provisions regarding 'Supplier obligations during suspension defined': Buyer may suspend work for commercial convenience no more than two (2) times during the Purchase Order term, and the aggregate duration of such commercial-convenience suspensions shall not exceed thirty (30) calendar days unless Supplier agrees in writing.</w:t>
            </w:r>
          </w:p>
        </w:tc>
        <w:tc>
          <w:tcPr>
            <w:tcW w:type="dxa" w:w="1234"/>
          </w:tcPr>
          <w:p>
            <w:r>
              <w:t>Met</w:t>
            </w:r>
          </w:p>
        </w:tc>
        <w:tc>
          <w:tcPr>
            <w:tcW w:type="dxa" w:w="1234"/>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234"/>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234"/>
          </w:tcPr>
          <w:p>
            <w:r>
              <w:t>Standardized preservation protocol requirements into the contract text and escalated unresolved maintenance cost allocations to the procurement board.</w:t>
              <w:br/>
              <w:br/>
              <w:t>Historical Reference</w:t>
              <w:br/>
              <w:t>Sources:</w:t>
              <w:br/>
              <w:t>• d2.docx – Suspension</w:t>
              <w:br/>
              <w:t>• d1.docx – Suspension</w:t>
            </w:r>
          </w:p>
        </w:tc>
      </w:tr>
      <w:tr>
        <w:tc>
          <w:tcPr>
            <w:tcW w:type="dxa" w:w="1234"/>
          </w:tcPr>
          <w:p>
            <w:r>
              <w:t>Change Orders</w:t>
            </w:r>
          </w:p>
        </w:tc>
        <w:tc>
          <w:tcPr>
            <w:tcW w:type="dxa" w:w="1234"/>
          </w:tcPr>
          <w:p>
            <w:r>
              <w:t>Formal amendment process defined</w:t>
            </w:r>
          </w:p>
        </w:tc>
        <w:tc>
          <w:tcPr>
            <w:tcW w:type="dxa" w:w="1234"/>
          </w:tcPr>
          <w:p>
            <w:r>
              <w:t>Provisions regarding 'Formal amendment process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234"/>
          </w:tcPr>
          <w:p>
            <w:r>
              <w:t>Met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Historically, the process evolved from a basic signed request protocol to a comprehensive framework incorporating a strict document precedence matrix to resolve conflicting instructions.</w:t>
              <w:br/>
              <w:br/>
              <w:t>Historical Reference</w:t>
              <w:br/>
              <w:t>Sources:</w:t>
              <w:br/>
              <w:t>• d1.docx – Change Orders</w:t>
              <w:br/>
              <w:t>• d2.docx – Change Orders</w:t>
            </w:r>
          </w:p>
        </w:tc>
      </w:tr>
      <w:tr>
        <w:tc>
          <w:tcPr>
            <w:tcW w:type="dxa" w:w="1234"/>
          </w:tcPr>
          <w:p>
            <w:r>
              <w:t>Change Orders</w:t>
            </w:r>
          </w:p>
        </w:tc>
        <w:tc>
          <w:tcPr>
            <w:tcW w:type="dxa" w:w="1234"/>
          </w:tcPr>
          <w:p>
            <w:r>
              <w:t>Timeline for approval defined</w:t>
            </w:r>
          </w:p>
        </w:tc>
        <w:tc>
          <w:tcPr>
            <w:tcW w:type="dxa" w:w="1234"/>
          </w:tcPr>
          <w:p>
            <w:r>
              <w:t>Provisions regarding 'Timeline for approval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234"/>
          </w:tcPr>
          <w:p>
            <w:r>
              <w:t>Met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Past efforts focused on replacing vague 'reasonable' timeframes with specific day-counts for evaluations and flagging unilateral directives that bypassed commercial cost tracking.</w:t>
              <w:br/>
              <w:br/>
              <w:t>Historical Reference</w:t>
              <w:br/>
              <w:t>Sources:</w:t>
              <w:br/>
              <w:t>• d1.docx – Change Orders</w:t>
              <w:br/>
              <w:t>• d2.docx – Change Orders</w:t>
            </w:r>
          </w:p>
        </w:tc>
      </w:tr>
      <w:tr>
        <w:tc>
          <w:tcPr>
            <w:tcW w:type="dxa" w:w="1234"/>
          </w:tcPr>
          <w:p>
            <w:r>
              <w:t>Governing Law</w:t>
            </w:r>
          </w:p>
        </w:tc>
        <w:tc>
          <w:tcPr>
            <w:tcW w:type="dxa" w:w="1234"/>
          </w:tcPr>
          <w:p>
            <w:r>
              <w:t>Applicable law specified</w:t>
            </w:r>
          </w:p>
        </w:tc>
        <w:tc>
          <w:tcPr>
            <w:tcW w:type="dxa" w:w="1234"/>
          </w:tcPr>
          <w:p>
            <w:r>
              <w:t>Provisions regarding 'Applicable law specified': This Purchase Order and all non-contractual obligations arising out of or in connection with it shall be governed by the laws of India, excluding conflict-of-law principles.</w:t>
            </w:r>
          </w:p>
        </w:tc>
        <w:tc>
          <w:tcPr>
            <w:tcW w:type="dxa" w:w="1234"/>
          </w:tcPr>
          <w:p>
            <w:r>
              <w:t>Partially Met</w:t>
            </w:r>
          </w:p>
        </w:tc>
        <w:tc>
          <w:tcPr>
            <w:tcW w:type="dxa" w:w="1234"/>
          </w:tcPr>
          <w:p>
            <w:r>
              <w:t>This Purchase Order and all non-contractual obligations arising out of or in connection with it shall be</w:t>
              <w:br/>
              <w:t>governed by the laws of India, excluding conflict-of-law principles.</w:t>
            </w:r>
          </w:p>
        </w:tc>
        <w:tc>
          <w:tcPr>
            <w:tcW w:type="dxa" w:w="1234"/>
          </w:tcPr>
          <w:p>
            <w:r>
              <w:t>Clause contains material limitations, exceptions, carve-outs, conditions, or restricted applicability</w:t>
            </w:r>
          </w:p>
        </w:tc>
        <w:tc>
          <w:tcPr>
            <w:tcW w:type="dxa" w:w="1234"/>
          </w:tcPr>
          <w:p>
            <w:r>
              <w:t>Historically, governing law requirements were addressed by implementing a standardized legal framework across all global procurement files to ensure consistency.</w:t>
              <w:br/>
              <w:br/>
              <w:t>Historical Reference</w:t>
              <w:br/>
              <w:t>Source:</w:t>
              <w:br/>
              <w:t>d1.docx</w:t>
              <w:br/>
              <w:t>Clause: Governing Law</w:t>
              <w:br/>
              <w:t>Requirement: Applicable law specified</w:t>
              <w:br/>
              <w:br/>
              <w:t>Quote:</w:t>
              <w:br/>
              <w:t>"Standardized governing law framework applied across all active global procurement files."</w:t>
            </w:r>
          </w:p>
        </w:tc>
      </w:tr>
      <w:tr>
        <w:tc>
          <w:tcPr>
            <w:tcW w:type="dxa" w:w="1234"/>
          </w:tcPr>
          <w:p>
            <w:r>
              <w:t>Dispute Resolution</w:t>
            </w:r>
          </w:p>
        </w:tc>
        <w:tc>
          <w:tcPr>
            <w:tcW w:type="dxa" w:w="1234"/>
          </w:tcPr>
          <w:p>
            <w:r>
              <w:t>Arbitration mechanism defined</w:t>
            </w:r>
          </w:p>
        </w:tc>
        <w:tc>
          <w:tcPr>
            <w:tcW w:type="dxa" w:w="1234"/>
          </w:tcPr>
          <w:p>
            <w:r>
              <w:t>Provisions regarding 'Arbitration mechanism defined': Disputes limited to laboratory test methodology shall first be referred to a technical expert in Mumbai; if the expert's determination is rejected, only the remaining legal dispute proceeds to Singapore arbitration.</w:t>
            </w:r>
          </w:p>
        </w:tc>
        <w:tc>
          <w:tcPr>
            <w:tcW w:type="dxa" w:w="1234"/>
          </w:tcPr>
          <w:p>
            <w:r>
              <w:t>Met</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Previous efforts focused on transitioning from local court litigation or biased municipal panels to a structured multi-tier arbitration framework.</w:t>
              <w:br/>
              <w:br/>
              <w:t>Historical Reference</w:t>
              <w:br/>
              <w:t>Sources:</w:t>
              <w:br/>
              <w:t>• d1.docx – Dispute Resolution</w:t>
              <w:br/>
              <w:t>• d2.docx – Dispute Resolution</w:t>
            </w:r>
          </w:p>
        </w:tc>
      </w:tr>
      <w:tr>
        <w:tc>
          <w:tcPr>
            <w:tcW w:type="dxa" w:w="1234"/>
          </w:tcPr>
          <w:p>
            <w:r>
              <w:t>Dispute Resolution</w:t>
            </w:r>
          </w:p>
        </w:tc>
        <w:tc>
          <w:tcPr>
            <w:tcW w:type="dxa" w:w="1234"/>
          </w:tcPr>
          <w:p>
            <w:r>
              <w:t>Seat of arbitration specified</w:t>
            </w:r>
          </w:p>
        </w:tc>
        <w:tc>
          <w:tcPr>
            <w:tcW w:type="dxa" w:w="1234"/>
          </w:tcPr>
          <w:p>
            <w:r>
              <w:t>Provisions regarding 'Seat of arbitration specified': Disputes limited to laboratory test methodology shall first be referred to a technical expert in Mumbai; if the expert's determination is rejected, only the remaining legal dispute proceeds to Singapore arbitration.</w:t>
            </w:r>
          </w:p>
        </w:tc>
        <w:tc>
          <w:tcPr>
            <w:tcW w:type="dxa" w:w="1234"/>
          </w:tcPr>
          <w:p>
            <w:r>
              <w:t>Met</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Historical gaps in designating a legal seat led to the active evaluation of neutral international locations to avoid jurisdictional bias.</w:t>
              <w:br/>
              <w:br/>
              <w:t>Historical Reference</w:t>
              <w:br/>
              <w:t>Sources:</w:t>
              <w:br/>
              <w:t>• d1.docx – Dispute Resolution</w:t>
              <w:br/>
              <w:t>• d2.docx – Dispute Resolution</w:t>
            </w:r>
          </w:p>
        </w:tc>
      </w:tr>
      <w:tr>
        <w:tc>
          <w:tcPr>
            <w:tcW w:type="dxa" w:w="1234"/>
          </w:tcPr>
          <w:p>
            <w:r>
              <w:t>Insurance</w:t>
            </w:r>
          </w:p>
        </w:tc>
        <w:tc>
          <w:tcPr>
            <w:tcW w:type="dxa" w:w="1234"/>
          </w:tcPr>
          <w:p>
            <w:r>
              <w:t>Insurance responsibilities defined</w:t>
            </w:r>
          </w:p>
        </w:tc>
        <w:tc>
          <w:tcPr>
            <w:tcW w:type="dxa" w:w="1234"/>
          </w:tcPr>
          <w:p>
            <w:r>
              <w:t>Provisions regarding 'Insurance responsibilities defined': Article 00511. 4 - Delivery, Readiness, and Storage.</w:t>
            </w:r>
          </w:p>
        </w:tc>
        <w:tc>
          <w:tcPr>
            <w:tcW w:type="dxa" w:w="1234"/>
          </w:tcPr>
          <w:p>
            <w:r>
              <w:t>Met</w:t>
            </w:r>
          </w:p>
        </w:tc>
        <w:tc>
          <w:tcPr>
            <w:tcW w:type="dxa" w:w="1234"/>
          </w:tcPr>
          <w:p>
            <w:r>
              <w:t>Article 00511.4 - Delivery, Readiness, and Storage</w:t>
            </w:r>
          </w:p>
        </w:tc>
        <w:tc>
          <w:tcPr>
            <w:tcW w:type="dxa" w:w="1234"/>
          </w:tcPr>
          <w:p>
            <w:r>
              <w:t>Article 00511.4 - Delivery, Readiness, and Storage</w:t>
            </w:r>
          </w:p>
        </w:tc>
        <w:tc>
          <w:tcPr>
            <w:tcW w:type="dxa" w:w="1234"/>
          </w:tcPr>
          <w:p>
            <w:r>
              <w:t>Historically, insurance responsibilities were validated against corporate risk baselines or expanded via supplementary agreements to cover specialized transit risks like Marine Cargo.</w:t>
              <w:br/>
              <w:br/>
              <w:t>Historical Reference</w:t>
              <w:br/>
              <w:t>Sources:</w:t>
              <w:br/>
              <w:t>• d1.docx – Insurance</w:t>
              <w:br/>
              <w:t>• d2.docx – Insurance</w:t>
            </w:r>
          </w:p>
        </w:tc>
      </w:tr>
      <w:tr>
        <w:tc>
          <w:tcPr>
            <w:tcW w:type="dxa" w:w="1234"/>
          </w:tcPr>
          <w:p>
            <w:r>
              <w:t>Insurance</w:t>
            </w:r>
          </w:p>
        </w:tc>
        <w:tc>
          <w:tcPr>
            <w:tcW w:type="dxa" w:w="1234"/>
          </w:tcPr>
          <w:p>
            <w:r>
              <w:t>Equipment damage covered while at buyer premises</w:t>
            </w:r>
          </w:p>
        </w:tc>
        <w:tc>
          <w:tcPr>
            <w:tcW w:type="dxa" w:w="1234"/>
          </w:tcPr>
          <w:p>
            <w:r>
              <w:t>Provisions regarding 'Equipment damage covered while at buyer premises': Storage charges are without prejudice to Supplier's right to claim insurance or preservation costs caused by abnormal storage conditions.</w:t>
            </w:r>
          </w:p>
        </w:tc>
        <w:tc>
          <w:tcPr>
            <w:tcW w:type="dxa" w:w="1234"/>
          </w:tcPr>
          <w:p>
            <w:r>
              <w:t>Met</w:t>
            </w:r>
          </w:p>
        </w:tc>
        <w:tc>
          <w:tcPr>
            <w:tcW w:type="dxa" w:w="1234"/>
          </w:tcPr>
          <w:p>
            <w:r>
              <w:t>Storage charges are</w:t>
              <w:br/>
              <w:t>without prejudice to Supplier's right to claim insurance or preservation costs caused by abnormal storage conditions.</w:t>
            </w:r>
          </w:p>
        </w:tc>
        <w:tc>
          <w:tcPr>
            <w:tcW w:type="dxa" w:w="1234"/>
          </w:tcPr>
          <w:p>
            <w:r>
              <w:t>Storage charges are</w:t>
              <w:br/>
              <w:t>without prejudice to Supplier's right to claim insurance or preservation costs caused by abnormal storage conditions.</w:t>
            </w:r>
          </w:p>
        </w:tc>
        <w:tc>
          <w:tcPr>
            <w:tcW w:type="dxa" w:w="1234"/>
          </w:tcPr>
          <w:p>
            <w:r>
              <w:t>Past non-compliance regarding equipment damage at buyer premises was mitigated by securing secondary corporate property rider policies to accept field damage risks.</w:t>
              <w:br/>
              <w:br/>
              <w:t>Historical Reference</w:t>
              <w:br/>
              <w:t>Source:</w:t>
              <w:br/>
              <w:t>d1.docx</w:t>
              <w:br/>
              <w:t>Clause: Insurance</w:t>
              <w:br/>
              <w:t>Requirement: Equipment damage covered while at buyer premises</w:t>
              <w:br/>
              <w:br/>
              <w:t>Quote:</w:t>
              <w:br/>
              <w:t>"Management accepted field damage risk after securing a secondary comprehensive corporate property rider policy."</w:t>
            </w:r>
          </w:p>
        </w:tc>
      </w:tr>
      <w:tr>
        <w:tc>
          <w:tcPr>
            <w:tcW w:type="dxa" w:w="1234"/>
          </w:tcPr>
          <w:p>
            <w:r>
              <w:t>Liability</w:t>
            </w:r>
          </w:p>
        </w:tc>
        <w:tc>
          <w:tcPr>
            <w:tcW w:type="dxa" w:w="1234"/>
          </w:tcPr>
          <w:p>
            <w:r>
              <w:t>Aggregate liability cap defined</w:t>
            </w:r>
          </w:p>
        </w:tc>
        <w:tc>
          <w:tcPr>
            <w:tcW w:type="dxa" w:w="1234"/>
          </w:tcPr>
          <w:p>
            <w:r>
              <w:t>Provisions regarding 'Aggregate liability cap defined': Supplier's aggregate liability for repair or replacement of defective equipment under this Article shall not exceed ten percent (10%) of the total Purchase Order value.</w:t>
            </w:r>
          </w:p>
        </w:tc>
        <w:tc>
          <w:tcPr>
            <w:tcW w:type="dxa" w:w="1234"/>
          </w:tcPr>
          <w:p>
            <w:r>
              <w:t>Met</w:t>
            </w:r>
          </w:p>
        </w:tc>
        <w:tc>
          <w:tcPr>
            <w:tcW w:type="dxa" w:w="1234"/>
          </w:tcPr>
          <w:p>
            <w:r>
              <w:t>Supplier's aggregate liability for repair</w:t>
              <w:br/>
              <w:t>or replacement of defective equipment under this Article shall not exceed ten percent (10%) of the total Purchase Order value.</w:t>
            </w:r>
          </w:p>
        </w:tc>
        <w:tc>
          <w:tcPr>
            <w:tcW w:type="dxa" w:w="1234"/>
          </w:tcPr>
          <w:p>
            <w:r>
              <w:t>Supplier's aggregate liability for repair</w:t>
              <w:br/>
              <w:t>or replacement of defective equipment under this Article shall not exceed ten percent (10%) of the total Purchase Order value.</w:t>
            </w:r>
          </w:p>
        </w:tc>
        <w:tc>
          <w:tcPr>
            <w:tcW w:type="dxa" w:w="1234"/>
          </w:tcPr>
          <w:p>
            <w:r>
              <w:t>Historically, efforts focused on transitioning from uncapped liability to defined caps, negotiating the limit down from 100% of PO value toward standard corporate risk boundaries.</w:t>
              <w:br/>
              <w:br/>
              <w:t>Historical Reference</w:t>
              <w:br/>
              <w:t>Sources:</w:t>
              <w:br/>
              <w:t>• d1.docx – Liability</w:t>
              <w:br/>
              <w:t>• d2.docx – Liability</w:t>
            </w:r>
          </w:p>
        </w:tc>
      </w:tr>
      <w:tr>
        <w:tc>
          <w:tcPr>
            <w:tcW w:type="dxa" w:w="1234"/>
          </w:tcPr>
          <w:p>
            <w:r>
              <w:t>Liability</w:t>
            </w:r>
          </w:p>
        </w:tc>
        <w:tc>
          <w:tcPr>
            <w:tcW w:type="dxa" w:w="1234"/>
          </w:tcPr>
          <w:p>
            <w:r>
              <w:t>Liability carve-outs defined</w:t>
            </w:r>
          </w:p>
        </w:tc>
        <w:tc>
          <w:tcPr>
            <w:tcW w:type="dxa" w:w="1234"/>
          </w:tcPr>
          <w:p>
            <w:r>
              <w:t>Provisions regarding 'Liability carve-outs defined': The cap in Article 00511. 1 does not apply to direct costs of emergency removal, re-installation, or temporary site stabilization if the defect creates a safety shutdown.</w:t>
            </w:r>
          </w:p>
        </w:tc>
        <w:tc>
          <w:tcPr>
            <w:tcW w:type="dxa" w:w="1234"/>
          </w:tcPr>
          <w:p>
            <w:r>
              <w:t>Partially Met</w:t>
            </w:r>
          </w:p>
        </w:tc>
        <w:tc>
          <w:tcPr>
            <w:tcW w:type="dxa" w:w="1234"/>
          </w:tcPr>
          <w:p>
            <w:r>
              <w:t>The cap in Article 00511.8.1 does not apply to direct costs of emergency removal, re-installation, or</w:t>
              <w:br/>
              <w:t>temporary site stabilization if the defect creates a safety shutdown.</w:t>
            </w:r>
          </w:p>
        </w:tc>
        <w:tc>
          <w:tcPr>
            <w:tcW w:type="dxa" w:w="1234"/>
          </w:tcPr>
          <w:p>
            <w:r>
              <w:t>Clause contains material limitations, exceptions, carve-outs, conditions, or restricted applicability</w:t>
            </w:r>
          </w:p>
        </w:tc>
        <w:tc>
          <w:tcPr>
            <w:tcW w:type="dxa" w:w="1234"/>
          </w:tcPr>
          <w:p>
            <w:r>
              <w:t>Past actions involved narrowing the scope of carve-outs by removing open-ended exclusions, such as safety shutdown clauses, to ensure operational errors remained within the liability cap.</w:t>
              <w:br/>
              <w:br/>
              <w:t>Historical Reference</w:t>
              <w:br/>
              <w:t>Source:</w:t>
              <w:br/>
              <w:t>d1.docx</w:t>
              <w:br/>
              <w:t>Clause: Liability</w:t>
              <w:br/>
              <w:t>Requirement: Liability carve-outs defined</w:t>
              <w:br/>
              <w:br/>
              <w:t>Quote:</w:t>
              <w:br/>
              <w:t>"Reduced exposure profiles achieved by removing open-ended safety shutdown exclusions from original drafts."</w:t>
            </w:r>
          </w:p>
        </w:tc>
      </w:tr>
      <w:tr>
        <w:tc>
          <w:tcPr>
            <w:tcW w:type="dxa" w:w="1234"/>
          </w:tcPr>
          <w:p>
            <w:r>
              <w:t>Consequential Damages</w:t>
            </w:r>
          </w:p>
        </w:tc>
        <w:tc>
          <w:tcPr>
            <w:tcW w:type="dxa" w:w="1234"/>
          </w:tcPr>
          <w:p>
            <w:r>
              <w:t>Consequential damages excluded</w:t>
            </w:r>
          </w:p>
        </w:tc>
        <w:tc>
          <w:tcPr>
            <w:tcW w:type="dxa" w:w="1234"/>
          </w:tcPr>
          <w:p>
            <w:r>
              <w:t>Provisions regarding 'Consequential damages excluded':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234"/>
          </w:tcPr>
          <w:p>
            <w:r>
              <w:t>Partially Met</w:t>
            </w:r>
          </w:p>
        </w:tc>
        <w:tc>
          <w:tcPr>
            <w:tcW w:type="dxa" w:w="1234"/>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234"/>
          </w:tcPr>
          <w:p>
            <w:r>
              <w:t>Clause contains material limitations, exceptions, carve-outs, conditions, or restricted applicability</w:t>
            </w:r>
          </w:p>
        </w:tc>
        <w:tc>
          <w:tcPr>
            <w:tcW w:type="dxa" w:w="1234"/>
          </w:tcPr>
          <w:p>
            <w:r>
              <w:t>Historically, legal teams focused on clarifying damage definitions and integrating absolute mutual waivers to isolate both parties from speculative financial claims.</w:t>
              <w:br/>
              <w:br/>
              <w:t>Historical Reference</w:t>
              <w:br/>
              <w:t>Sources:</w:t>
              <w:br/>
              <w:t>• d1.docx – Consequential Damages</w:t>
              <w:br/>
              <w:t>• d2.docx – Consequential Damages</w:t>
            </w:r>
          </w:p>
        </w:tc>
      </w:tr>
      <w:tr>
        <w:tc>
          <w:tcPr>
            <w:tcW w:type="dxa" w:w="1234"/>
          </w:tcPr>
          <w:p>
            <w:r>
              <w:t>Consequential Damages</w:t>
            </w:r>
          </w:p>
        </w:tc>
        <w:tc>
          <w:tcPr>
            <w:tcW w:type="dxa" w:w="1234"/>
          </w:tcPr>
          <w:p>
            <w:r>
              <w:t>Exceptions to exclusion defined</w:t>
            </w:r>
          </w:p>
        </w:tc>
        <w:tc>
          <w:tcPr>
            <w:tcW w:type="dxa" w:w="1234"/>
          </w:tcPr>
          <w:p>
            <w:r>
              <w:t>Provisions regarding 'Exceptions to exclusion defined':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234"/>
          </w:tcPr>
          <w:p>
            <w:r>
              <w:t>Partially Met</w:t>
            </w:r>
          </w:p>
        </w:tc>
        <w:tc>
          <w:tcPr>
            <w:tcW w:type="dxa" w:w="1234"/>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234"/>
          </w:tcPr>
          <w:p>
            <w:r>
              <w:t>Clause contains material limitations, exceptions, carve-outs, conditions, or restricted applicability</w:t>
            </w:r>
          </w:p>
        </w:tc>
        <w:tc>
          <w:tcPr>
            <w:tcW w:type="dxa" w:w="1234"/>
          </w:tcPr>
          <w:p>
            <w:r>
              <w:t>Past efforts involved narrowing or completely removing exceptions to ensure an unconditional waiver structure, though some vendors successfully re-inserted specific carve-outs for environmental incidents.</w:t>
              <w:br/>
              <w:br/>
              <w:t>Historical Reference</w:t>
              <w:br/>
              <w:t>Sources:</w:t>
              <w:br/>
              <w:t>• d1.docx – Consequential Damages</w:t>
              <w:br/>
              <w:t>• d2.docx – Consequential Damages</w:t>
            </w:r>
          </w:p>
        </w:tc>
      </w:tr>
      <w:tr>
        <w:tc>
          <w:tcPr>
            <w:tcW w:type="dxa" w:w="1234"/>
          </w:tcPr>
          <w:p>
            <w:r>
              <w:t>Critical Sub-Suppliers</w:t>
            </w:r>
          </w:p>
        </w:tc>
        <w:tc>
          <w:tcPr>
            <w:tcW w:type="dxa" w:w="1234"/>
          </w:tcPr>
          <w:p>
            <w:r>
              <w:t>Approved critical vendors identified</w:t>
            </w:r>
          </w:p>
        </w:tc>
        <w:tc>
          <w:tcPr>
            <w:tcW w:type="dxa" w:w="1234"/>
          </w:tcPr>
          <w:p>
            <w:r>
              <w:t>Provisions regarding 'Approved critical vendors identified': Annex D approved critical sub-suppliers: BrightForge Rings Pvt.</w:t>
            </w:r>
          </w:p>
        </w:tc>
        <w:tc>
          <w:tcPr>
            <w:tcW w:type="dxa" w:w="1234"/>
          </w:tcPr>
          <w:p>
            <w:r>
              <w:t>Met</w:t>
            </w:r>
          </w:p>
        </w:tc>
        <w:tc>
          <w:tcPr>
            <w:tcW w:type="dxa" w:w="1234"/>
          </w:tcPr>
          <w:p>
            <w:r>
              <w:t>Annex D approved critical sub-suppliers: BrightForge Rings Pvt.</w:t>
            </w:r>
          </w:p>
        </w:tc>
        <w:tc>
          <w:tcPr>
            <w:tcW w:type="dxa" w:w="1234"/>
          </w:tcPr>
          <w:p>
            <w:r>
              <w:t>Annex D approved critical sub-suppliers: BrightForge Rings Pvt.</w:t>
            </w:r>
          </w:p>
        </w:tc>
        <w:tc>
          <w:tcPr>
            <w:tcW w:type="dxa" w:w="1234"/>
          </w:tcPr>
          <w:p>
            <w:r>
              <w:t>Historically, the identification of critical vendors involved expanding registries to include both forging houses and metallurgical suppliers, with quality assurance teams pre-clearing alternate directories.</w:t>
              <w:br/>
              <w:br/>
              <w:t>Historical Reference</w:t>
              <w:br/>
              <w:t>Sources:</w:t>
              <w:br/>
              <w:t>• d1.docx – Critical Sub-Suppliers</w:t>
              <w:br/>
              <w:t>• d2.docx – Critical Sub-Suppliers</w:t>
            </w:r>
          </w:p>
        </w:tc>
      </w:tr>
      <w:tr>
        <w:tc>
          <w:tcPr>
            <w:tcW w:type="dxa" w:w="1234"/>
          </w:tcPr>
          <w:p>
            <w:r>
              <w:t>Critical Sub-Suppliers</w:t>
            </w:r>
          </w:p>
        </w:tc>
        <w:tc>
          <w:tcPr>
            <w:tcW w:type="dxa" w:w="1234"/>
          </w:tcPr>
          <w:p>
            <w:r>
              <w:t>Vendor substitution restrictions defined</w:t>
            </w:r>
          </w:p>
        </w:tc>
        <w:tc>
          <w:tcPr>
            <w:tcW w:type="dxa" w:w="1234"/>
          </w:tcPr>
          <w:p>
            <w:r>
              <w:t>Provisions regarding 'Vendor substitution restrictions defined': Annex D approved critical sub-suppliers: BrightForge Rings Pvt.</w:t>
            </w:r>
          </w:p>
        </w:tc>
        <w:tc>
          <w:tcPr>
            <w:tcW w:type="dxa" w:w="1234"/>
          </w:tcPr>
          <w:p>
            <w:r>
              <w:t>Met</w:t>
            </w:r>
          </w:p>
        </w:tc>
        <w:tc>
          <w:tcPr>
            <w:tcW w:type="dxa" w:w="1234"/>
          </w:tcPr>
          <w:p>
            <w:r>
              <w:t>Annex D approved critical sub-suppliers: BrightForge Rings Pvt.</w:t>
            </w:r>
          </w:p>
        </w:tc>
        <w:tc>
          <w:tcPr>
            <w:tcW w:type="dxa" w:w="1234"/>
          </w:tcPr>
          <w:p>
            <w:r>
              <w:t>Annex D approved critical sub-suppliers: BrightForge Rings Pvt.</w:t>
            </w:r>
          </w:p>
        </w:tc>
        <w:tc>
          <w:tcPr>
            <w:tcW w:type="dxa" w:w="1234"/>
          </w:tcPr>
          <w:p>
            <w:r>
              <w:t>Past actions focused on remediating unauthorized substitution risks by challenging clauses that allowed vendors to switch suppliers via simple notification without prior buyer approval.</w:t>
              <w:br/>
              <w:br/>
              <w:t>Historical Reference</w:t>
              <w:br/>
              <w:t>Source:</w:t>
              <w:br/>
              <w:t>d1.docx</w:t>
              <w:br/>
              <w:t>Clause: Critical Sub-Suppliers</w:t>
              <w:br/>
              <w:t>Requirement: Vendor substitution restrictions defined</w:t>
              <w:br/>
              <w:br/>
              <w:t>Quote:</w:t>
              <w:br/>
              <w:t>"Unauthorized substitution risks flagged by internal audit; remediation strategy currently under review."</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Cash-flow and payment timing risk</w:t>
            </w:r>
          </w:p>
        </w:tc>
        <w:tc>
          <w:tcPr>
            <w:tcW w:type="dxa" w:w="1440"/>
          </w:tcPr>
          <w:p>
            <w:r>
              <w:t>The advance payment is split into two tranches. The second 15 percent is conditional upon the performance bank guarantee, signed kick-off minutes, and document submission register. Failure to meet these conditions within 20 days allows the Buyer to defer payment without interest, creating a dependency that delays full liquidity for the Supplier.</w:t>
            </w:r>
          </w:p>
        </w:tc>
        <w:tc>
          <w:tcPr>
            <w:tcW w:type="dxa" w:w="1440"/>
          </w:tcPr>
          <w:p>
            <w:r>
              <w:t>Require the full 45 percent advance payment to be payable within five business days of PO acknowledgement without secondary conditional tranches.</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Cash-flow risk and payment delays</w:t>
            </w:r>
          </w:p>
        </w:tc>
        <w:tc>
          <w:tcPr>
            <w:tcW w:type="dxa" w:w="1440"/>
          </w:tcPr>
          <w:p>
            <w:r>
              <w:t>The payment trigger is conditional upon internal administrative processes including goods receipt and inspection. This allows the Buyer to unilaterally delay the 30-day payment clock regardless of the invoice date, creating unpredictable cash flow and potential payment lags beyond the Net 30 requirement.</w:t>
            </w:r>
          </w:p>
        </w:tc>
        <w:tc>
          <w:tcPr>
            <w:tcW w:type="dxa" w:w="1440"/>
          </w:tcPr>
          <w:p>
            <w:r>
              <w:t>Establish payment terms as Net 30 days from invoice receipt and remove dependencies on internal Buyer acceptance records.</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Guarantee risk and financial exposure</w:t>
            </w:r>
          </w:p>
        </w:tc>
        <w:tc>
          <w:tcPr>
            <w:tcW w:type="dxa" w:w="1440"/>
          </w:tcPr>
          <w:p>
            <w:r>
              <w:t>The contract mandates a 10% performance guarantee plus a 2% bridge guarantee, totaling 12% security obligations. This exceeds the 10% maximum requirement. The inclusion of Article 00511.3.3 explicitly overrides the standard procurement limit, increasing the supplier's financial burden and liquidity risk.</w:t>
            </w:r>
          </w:p>
        </w:tc>
        <w:tc>
          <w:tcPr>
            <w:tcW w:type="dxa" w:w="1440"/>
          </w:tcPr>
          <w:p>
            <w:r>
              <w:t>Reduce total performance security to a maximum of 10 percent including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Financial exposure due to limited liquidated damages recovery</w:t>
            </w:r>
          </w:p>
        </w:tc>
        <w:tc>
          <w:tcPr>
            <w:tcW w:type="dxa" w:w="1440"/>
          </w:tcPr>
          <w:p>
            <w:r>
              <w:t>The clause excludes standalone liquidated damages for documentation and engineering submittals unless identified as Critical Dispatch Documents. Additionally, delivery LD is capped at 5 percent of the undelivered part value, and total aggregate exposure is limited to 7.5 percent of the total PO value. This restricts the Buyers ability to recover full financial losses resulting from documentation or equipment delivery delays.</w:t>
            </w:r>
          </w:p>
        </w:tc>
        <w:tc>
          <w:tcPr>
            <w:tcW w:type="dxa" w:w="1440"/>
          </w:tcPr>
          <w:p>
            <w:r>
              <w:t>Remove the exemption for routine documentation and increase the aggregate LD cap beyond 7.5 percent of the total Purchase Order value.</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Financial exposure due to capped liquidated damages</w:t>
            </w:r>
          </w:p>
        </w:tc>
        <w:tc>
          <w:tcPr>
            <w:tcW w:type="dxa" w:w="1440"/>
          </w:tcPr>
          <w:p>
            <w:r>
              <w:t>The clause imposes a 5 percent cap on delivery LDs per undelivered part and a 7.5 percent aggregate cap on total PO value. These limitations restrict the buyer's ability to recover full losses resulting from prolonged equipment delivery delays.</w:t>
            </w:r>
          </w:p>
        </w:tc>
        <w:tc>
          <w:tcPr>
            <w:tcW w:type="dxa" w:w="1440"/>
          </w:tcPr>
          <w:p>
            <w:r>
              <w:t>Remove the 5 percent per-part cap and increase the aggregate delay exposure cap to align with project risk requirements.</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Financial exposure through inflated aggregate liquidated damages cap</w:t>
            </w:r>
          </w:p>
        </w:tc>
        <w:tc>
          <w:tcPr>
            <w:tcW w:type="dxa" w:w="1440"/>
          </w:tcPr>
          <w:p>
            <w:r>
              <w:t>While equipment delivery LD is capped at 5 percent, Clause 00511.5.4 introduces an aggregate cap of 7.5 percent of the total Purchase Order value. This exceeds the 5 percent requirement by allowing combined charges for delivery LD, critical document delays, and service credits to reach a higher threshold, increasing the overall financial liability for the supplier.</w:t>
            </w:r>
          </w:p>
        </w:tc>
        <w:tc>
          <w:tcPr>
            <w:tcW w:type="dxa" w:w="1440"/>
          </w:tcPr>
          <w:p>
            <w:r>
              <w:t>Reduce the aggregate delay exposure cap to a maximum of 5 percent of the total Purchase Order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Financial liability exposure</w:t>
            </w:r>
          </w:p>
        </w:tc>
        <w:tc>
          <w:tcPr>
            <w:tcW w:type="dxa" w:w="1440"/>
          </w:tcPr>
          <w:p>
            <w:r>
              <w:t>The aggregate cap for liquidated damages and service credits is 7.5% of the total PO value, which exceeds the required 5% limit. This increases the total financial penalty exposure for the supplier beyond the corporate compliance threshold.</w:t>
            </w:r>
          </w:p>
        </w:tc>
        <w:tc>
          <w:tcPr>
            <w:tcW w:type="dxa" w:w="1440"/>
          </w:tcPr>
          <w:p>
            <w:r>
              <w:t>Reduce aggregate LD and service-credit exposure to a maximum of 5 percent of PO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Financial exposure due to lack of remedial work penalties</w:t>
            </w:r>
          </w:p>
        </w:tc>
        <w:tc>
          <w:tcPr>
            <w:tcW w:type="dxa" w:w="1440"/>
          </w:tcPr>
          <w:p>
            <w:r>
              <w:t>Clause 00511.5.3 explicitly excludes liquidated damages for remedial work, warranty repair, or replacement. This creates a financial risk as the Buyer cannot recover monetary damages for delays in corrective actions, leaving the project exposed to operational delays without a direct financial deterrent for the Supplier.</w:t>
            </w:r>
          </w:p>
        </w:tc>
        <w:tc>
          <w:tcPr>
            <w:tcW w:type="dxa" w:w="1440"/>
          </w:tcPr>
          <w:p>
            <w:r>
              <w:t>Apply liquidated damages to remedial work delays and remove the exclusion for monetary charges related to remedial-work timing.</w:t>
            </w:r>
          </w:p>
        </w:tc>
      </w:tr>
      <w:tr>
        <w:tc>
          <w:tcPr>
            <w:tcW w:type="dxa" w:w="1440"/>
          </w:tcPr>
          <w:p>
            <w:r>
              <w:t>Guarantee</w:t>
            </w:r>
          </w:p>
        </w:tc>
        <w:tc>
          <w:tcPr>
            <w:tcW w:type="dxa" w:w="1440"/>
          </w:tcPr>
          <w:p>
            <w:r>
              <w:t>Warranty period defined</w:t>
            </w:r>
          </w:p>
        </w:tc>
        <w:tc>
          <w:tcPr>
            <w:tcW w:type="dxa" w:w="1440"/>
          </w:tcPr>
          <w:p>
            <w:r>
              <w:t>Amber</w:t>
            </w:r>
          </w:p>
        </w:tc>
        <w:tc>
          <w:tcPr>
            <w:tcW w:type="dxa" w:w="1440"/>
          </w:tcPr>
          <w:p>
            <w:r>
              <w:t>Warranty risk and limited equipment protection</w:t>
            </w:r>
          </w:p>
        </w:tc>
        <w:tc>
          <w:tcPr>
            <w:tcW w:type="dxa" w:w="1440"/>
          </w:tcPr>
          <w:p>
            <w:r>
              <w:t>The warranty period is restricted by whichever occurs earlier between commissioning and dispatch. Furthermore, the remedial guarantee is capped at eighteen months from original dispatch, potentially leaving repaired components without coverage if the original dispatch date is exceeded, regardless of when the repair occurred.</w:t>
            </w:r>
          </w:p>
        </w:tc>
        <w:tc>
          <w:tcPr>
            <w:tcW w:type="dxa" w:w="1440"/>
          </w:tcPr>
          <w:p>
            <w:r>
              <w:t>Remove the whichever occurs earlier limitation and ensure all repaired components are guaranteed for a full twelve months from completion of repair regardless of original dispatch date.</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Warranty risk</w:t>
            </w:r>
          </w:p>
        </w:tc>
        <w:tc>
          <w:tcPr>
            <w:tcW w:type="dxa" w:w="1440"/>
          </w:tcPr>
          <w:p>
            <w:r>
              <w:t>The remedial guarantee for repaired components is limited to the earlier of twelve months from repair or eighteen months from original dispatch. This creates a coverage gap where critical repairs performed late in the initial warranty period may receive negligible remaining protection, regardless of the repair quality or component criticality.</w:t>
            </w:r>
          </w:p>
        </w:tc>
        <w:tc>
          <w:tcPr>
            <w:tcW w:type="dxa" w:w="1440"/>
          </w:tcPr>
          <w:p>
            <w:r>
              <w:t>Ensure repaired or replaced components are guaranteed for twelve months from completion of repair or replacement regardless of the original dispatch date.</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Warranty risk and financial exposure</w:t>
            </w:r>
          </w:p>
        </w:tc>
        <w:tc>
          <w:tcPr>
            <w:tcW w:type="dxa" w:w="1440"/>
          </w:tcPr>
          <w:p>
            <w:r>
              <w:t>The remedial guarantee is capped by the original dispatch date. If a component is replaced late in the initial warranty period, the eighteen month dispatch limit may expire before the twelve month repair warranty is fulfilled, leaving the buyer without coverage for the repaired part.</w:t>
            </w:r>
          </w:p>
        </w:tc>
        <w:tc>
          <w:tcPr>
            <w:tcW w:type="dxa" w:w="1440"/>
          </w:tcPr>
          <w:p>
            <w:r>
              <w:t>Ensure repaired or replaced components are guaranteed for a full twelve months regardless of the original equipment dispatch date.</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Force majeure limitations</w:t>
            </w:r>
          </w:p>
        </w:tc>
        <w:tc>
          <w:tcPr>
            <w:tcW w:type="dxa" w:w="1440"/>
          </w:tcPr>
          <w:p>
            <w:r>
              <w:t>Clause 00511.7.2 restricts supply-chain force majeure relief exclusively to named Tier-1 sub-suppliers in Annex D and approved logistics carriers. This excludes unnamed subcontractors and alternate vendors, creating operational risk where the supplier cannot claim relief for disruptions occurring elsewhere in their supply chain despite the event being beyond their reasonable control.</w:t>
            </w:r>
          </w:p>
        </w:tc>
        <w:tc>
          <w:tcPr>
            <w:tcW w:type="dxa" w:w="1440"/>
          </w:tcPr>
          <w:p>
            <w:r>
              <w:t>Expand force majeure relief to include all subcontractors and vendors regardless of their status in Annex D.</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Force majeure limitations</w:t>
            </w:r>
          </w:p>
        </w:tc>
        <w:tc>
          <w:tcPr>
            <w:tcW w:type="dxa" w:w="1440"/>
          </w:tcPr>
          <w:p>
            <w:r>
              <w:t>The clause restricts relief for supply chain disruptions only to named Tier-1 suppliers and approved carriers. This excludes unnamed subcontractors and alternate vendors from Force Majeure protections, increasing the risk of supplier default or breach of contract if a non-named sub-supplier experiences an uncontrollable event.</w:t>
            </w:r>
          </w:p>
        </w:tc>
        <w:tc>
          <w:tcPr>
            <w:tcW w:type="dxa" w:w="1440"/>
          </w:tcPr>
          <w:p>
            <w:r>
              <w:t>Extend force majeure relief to all subcontractors and vendors regardless of their status as named Tier-1 suppliers or approved carriers.</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Force majeure limitations</w:t>
            </w:r>
          </w:p>
        </w:tc>
        <w:tc>
          <w:tcPr>
            <w:tcW w:type="dxa" w:w="1440"/>
          </w:tcPr>
          <w:p>
            <w:r>
              <w:t>The clause restricts supply-chain relief to a specific list of Tier-1 sub-suppliers and the approved carrier. This creates operational risk by excluding unnamed subcontractors and alternate vendors, potentially leaving the company exposed to performance failures when the supplier cannot claim relief for disruptions occurring outside this restricted scope.</w:t>
            </w:r>
          </w:p>
        </w:tc>
        <w:tc>
          <w:tcPr>
            <w:tcW w:type="dxa" w:w="1440"/>
          </w:tcPr>
          <w:p>
            <w:r>
              <w:t>Expand Force Majeure relief to include all subcontractors and logistics providers regardless of their designation in Annex D.</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Financial exposure via tiered termination for convenience fees</w:t>
            </w:r>
          </w:p>
        </w:tc>
        <w:tc>
          <w:tcPr>
            <w:tcW w:type="dxa" w:w="1440"/>
          </w:tcPr>
          <w:p>
            <w:r>
              <w:t>The clause imposes a sliding scale of cancellation fees reaching up to 100 percent of the undelivered balance. This creates significant financial liability for the Buyer upon exercise of convenience termination rights, regardless of the Suppliers actual costs incurred.</w:t>
            </w:r>
          </w:p>
        </w:tc>
        <w:tc>
          <w:tcPr>
            <w:tcW w:type="dxa" w:w="1440"/>
          </w:tcPr>
          <w:p>
            <w:r>
              <w:t>Replace the percentage-based fee schedule with a reimbursement model limited to documented, reasonable, and verifiable non-cancelable costs incurred by Supplier.</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Financial exposure from high convenience cancellation fees</w:t>
            </w:r>
          </w:p>
        </w:tc>
        <w:tc>
          <w:tcPr>
            <w:tcW w:type="dxa" w:w="1440"/>
          </w:tcPr>
          <w:p>
            <w:r>
              <w:t>The fee structure imposes aggressive escalating costs reaching 100 percent of the undelivered balance after 181 days. This creates significant financial liability for the Buyer when exercising convenience termination rights, as costs increase sharply every 30 days regardless of actual Supplier costs incurred.</w:t>
            </w:r>
          </w:p>
        </w:tc>
        <w:tc>
          <w:tcPr>
            <w:tcW w:type="dxa" w:w="1440"/>
          </w:tcPr>
          <w:p>
            <w:r>
              <w:t>Reduce the percentage fees across all time brackets and cap total convenience cancellation exposure at a maximum of 25 percent of the undelivered balance.</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Financial exposure from insufficient cancellation fee recovery</w:t>
            </w:r>
          </w:p>
        </w:tc>
        <w:tc>
          <w:tcPr>
            <w:tcW w:type="dxa" w:w="1440"/>
          </w:tcPr>
          <w:p>
            <w:r>
              <w:t>The contract specifies a 38 percent cancellation fee for the 61-90 day window instead of the required 40 percent. This creates a 2 percent shortfall in recoverable costs upon convenience termination, resulting in direct financial loss for the company.</w:t>
            </w:r>
          </w:p>
        </w:tc>
        <w:tc>
          <w:tcPr>
            <w:tcW w:type="dxa" w:w="1440"/>
          </w:tcPr>
          <w:p>
            <w:r>
              <w:t>Increase the convenience cancellation fee for the 61-90 days window to 40 percent of the order value.</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uncapped suspension risk and financial exposure</w:t>
            </w:r>
          </w:p>
        </w:tc>
        <w:tc>
          <w:tcPr>
            <w:tcW w:type="dxa" w:w="1440"/>
          </w:tcPr>
          <w:p>
            <w:r>
              <w:t>The clause excludes regulatory, government, legal, and safety stoppages from the suspension limits. This creates an open-ended window for Buyer-directed or mandated delays that do not trigger the compensable change order protections defined in 00511.10.2, potentially leaving the Supplier to absorb costs for extended non-commercial suspensions.</w:t>
            </w:r>
          </w:p>
        </w:tc>
        <w:tc>
          <w:tcPr>
            <w:tcW w:type="dxa" w:w="1440"/>
          </w:tcPr>
          <w:p>
            <w:r>
              <w:t>Include all suspension types, including regulatory and safety stoppages, within the two-occurrence and 30-day aggregate limit.</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Operational and financial exposure from extended suspensions</w:t>
            </w:r>
          </w:p>
        </w:tc>
        <w:tc>
          <w:tcPr>
            <w:tcW w:type="dxa" w:w="1440"/>
          </w:tcPr>
          <w:p>
            <w:r>
              <w:t>The clause permits suspensions for commercial convenience. While limits exist, the Supplier is subject to operational constraints regarding restart timelines and resource availability. Furthermore, costs for excess suspensions are treated as compensable change orders, creating potential financial disputes over reasonable remobilization costs and schedule extensions.</w:t>
            </w:r>
          </w:p>
        </w:tc>
        <w:tc>
          <w:tcPr>
            <w:tcW w:type="dxa" w:w="1440"/>
          </w:tcPr>
          <w:p>
            <w:r>
              <w:t>Define specific hourly or daily rates for storage and remobilization costs and remove the subjective requirement for resource availability during restart.</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Legal exposure and fragmented dispute resolution</w:t>
            </w:r>
          </w:p>
        </w:tc>
        <w:tc>
          <w:tcPr>
            <w:tcW w:type="dxa" w:w="1440"/>
          </w:tcPr>
          <w:p>
            <w:r>
              <w:t>The clause creates a split jurisdiction where governing law is India, but arbitration is in Singapore, with further carve-outs for Mumbai courts and technical experts. This fragmentation increases legal complexity, costs, and the risk of conflicting rulings across different venues for the same contract.</w:t>
            </w:r>
          </w:p>
        </w:tc>
        <w:tc>
          <w:tcPr>
            <w:tcW w:type="dxa" w:w="1440"/>
          </w:tcPr>
          <w:p>
            <w:r>
              <w:t>Align governing law, seat of arbitration, and court jurisdiction to a single consistent jurisdiction to eliminate fragmented proceedings.</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Arbitration limitations</w:t>
            </w:r>
          </w:p>
        </w:tc>
        <w:tc>
          <w:tcPr>
            <w:tcW w:type="dxa" w:w="1440"/>
          </w:tcPr>
          <w:p>
            <w:r>
              <w:t>The dispute resolution process is conditional, requiring a mandatory technical expert referral in Mumbai before Singapore arbitration. This tiered dependency creates a procedural carve-out that delays access to final arbitration for methodology disputes, increasing legal exposure and operational delays.</w:t>
            </w:r>
          </w:p>
        </w:tc>
        <w:tc>
          <w:tcPr>
            <w:tcW w:type="dxa" w:w="1440"/>
          </w:tcPr>
          <w:p>
            <w:r>
              <w:t>Remove the mandatory technical expert referral and allow all disputes to proceed directly to Singapore arbitration.</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Arbitration limitations</w:t>
            </w:r>
          </w:p>
        </w:tc>
        <w:tc>
          <w:tcPr>
            <w:tcW w:type="dxa" w:w="1440"/>
          </w:tcPr>
          <w:p>
            <w:r>
              <w:t>The clause introduces a multi-tiered dispute process and a carve-out for laboratory test methodology. By requiring a technical expert in Mumbai before proceeding to Singapore arbitration, the company faces operational delays and potential legal exposure regarding the enforceability of the expert's determination before reaching the final seat of arbitration.</w:t>
            </w:r>
          </w:p>
        </w:tc>
        <w:tc>
          <w:tcPr>
            <w:tcW w:type="dxa" w:w="1440"/>
          </w:tcPr>
          <w:p>
            <w:r>
              <w:t>Remove the technical expert requirement and mandate that all disputes proceed directly to Singapore arbitration.</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Liability exposure</w:t>
            </w:r>
          </w:p>
        </w:tc>
        <w:tc>
          <w:tcPr>
            <w:tcW w:type="dxa" w:w="1440"/>
          </w:tcPr>
          <w:p>
            <w:r>
              <w:t>The liability cap for defect repairs is limited to 10 percent of PO value. While carve-outs exist for safety shutdowns, other significant defect costs remain capped, creating a financial gap if repair costs exceed the limited aggregate liability threshold.</w:t>
            </w:r>
          </w:p>
        </w:tc>
        <w:tc>
          <w:tcPr>
            <w:tcW w:type="dxa" w:w="1440"/>
          </w:tcPr>
          <w:p>
            <w:r>
              <w:t>Increase the defect liability cap and expand carve-outs to include all critical equipment failures regardless of safety shutdown status.</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Increased liability exposure via consequential damage carve-outs</w:t>
            </w:r>
          </w:p>
        </w:tc>
        <w:tc>
          <w:tcPr>
            <w:tcW w:type="dxa" w:w="1440"/>
          </w:tcPr>
          <w:p>
            <w:r>
              <w:t>Article 00511.15.2 creates multiple exceptions to the waiver of consequential damages, including confidentiality breaches, indemnity, IP infringement, and gross negligence. This allows the counterparty to recover indirect and consequential losses for these specific events, bypassing the general limitation and increasing potential financial and legal exposure.</w:t>
            </w:r>
          </w:p>
        </w:tc>
        <w:tc>
          <w:tcPr>
            <w:tcW w:type="dxa" w:w="1440"/>
          </w:tcPr>
          <w:p>
            <w:r>
              <w:t>Remove exceptions in Article 00511.15.2 to ensure a comprehensive and unconditional waiver of consequential damages for all claims.</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Increased liability exposure due to consequential damage carve-outs</w:t>
            </w:r>
          </w:p>
        </w:tc>
        <w:tc>
          <w:tcPr>
            <w:tcW w:type="dxa" w:w="1440"/>
          </w:tcPr>
          <w:p>
            <w:r>
              <w:t>The clause includes numerous exceptions to the consequential damages waiver, including confidentiality, indemnity, IP infringement, and gross negligence. This exposes the company to uncapped or higher indirect financial losses, as these specific events bypass the standard liability protections provided in Article 00511.15.1.</w:t>
            </w:r>
          </w:p>
        </w:tc>
        <w:tc>
          <w:tcPr>
            <w:tcW w:type="dxa" w:w="1440"/>
          </w:tcPr>
          <w:p>
            <w:r>
              <w:t>Narrow the exceptions to the consequential damages waiver and subject all carve-outs to an aggregate liability cap.</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Require the full 45 percent advance payment to be payable within five business days of PO acknowledgement without secondary conditional tranches.</w:t>
            </w:r>
          </w:p>
        </w:tc>
      </w:tr>
      <w:tr>
        <w:tc>
          <w:tcPr>
            <w:tcW w:type="dxa" w:w="2880"/>
          </w:tcPr>
          <w:p>
            <w:r>
              <w:t>Payment Terms</w:t>
            </w:r>
          </w:p>
        </w:tc>
        <w:tc>
          <w:tcPr>
            <w:tcW w:type="dxa" w:w="2880"/>
          </w:tcPr>
          <w:p>
            <w:r>
              <w:t>All payments Net 30 days from invoice</w:t>
            </w:r>
          </w:p>
        </w:tc>
        <w:tc>
          <w:tcPr>
            <w:tcW w:type="dxa" w:w="2880"/>
          </w:tcPr>
          <w:p>
            <w:r>
              <w:t>Establish payment terms as Net 30 days from invoice receipt and remove dependencies on internal Buyer acceptance records.</w:t>
            </w:r>
          </w:p>
        </w:tc>
      </w:tr>
      <w:tr>
        <w:tc>
          <w:tcPr>
            <w:tcW w:type="dxa" w:w="2880"/>
          </w:tcPr>
          <w:p>
            <w:r>
              <w:t>Bank Guarantees</w:t>
            </w:r>
          </w:p>
        </w:tc>
        <w:tc>
          <w:tcPr>
            <w:tcW w:type="dxa" w:w="2880"/>
          </w:tcPr>
          <w:p>
            <w:r>
              <w:t>Performance Guarantee not exceeding 10%</w:t>
            </w:r>
          </w:p>
        </w:tc>
        <w:tc>
          <w:tcPr>
            <w:tcW w:type="dxa" w:w="2880"/>
          </w:tcPr>
          <w:p>
            <w:r>
              <w:t>Reduce total performance security to a maximum of 10 percent including bridge guarantees.</w:t>
            </w:r>
          </w:p>
        </w:tc>
      </w:tr>
      <w:tr>
        <w:tc>
          <w:tcPr>
            <w:tcW w:type="dxa" w:w="2880"/>
          </w:tcPr>
          <w:p>
            <w:r>
              <w:t>Liquidated Damages</w:t>
            </w:r>
          </w:p>
        </w:tc>
        <w:tc>
          <w:tcPr>
            <w:tcW w:type="dxa" w:w="2880"/>
          </w:tcPr>
          <w:p>
            <w:r>
              <w:t>Documentation LD not applicable</w:t>
            </w:r>
          </w:p>
        </w:tc>
        <w:tc>
          <w:tcPr>
            <w:tcW w:type="dxa" w:w="2880"/>
          </w:tcPr>
          <w:p>
            <w:r>
              <w:t>Remove the exemption for routine documentation and increase the aggregate LD cap beyond 7.5 percent of the total Purchase Order value.</w:t>
            </w:r>
          </w:p>
        </w:tc>
      </w:tr>
      <w:tr>
        <w:tc>
          <w:tcPr>
            <w:tcW w:type="dxa" w:w="2880"/>
          </w:tcPr>
          <w:p>
            <w:r>
              <w:t>Liquidated Damages</w:t>
            </w:r>
          </w:p>
        </w:tc>
        <w:tc>
          <w:tcPr>
            <w:tcW w:type="dxa" w:w="2880"/>
          </w:tcPr>
          <w:p>
            <w:r>
              <w:t>Equipment Delivery LD 0.5% per week</w:t>
            </w:r>
          </w:p>
        </w:tc>
        <w:tc>
          <w:tcPr>
            <w:tcW w:type="dxa" w:w="2880"/>
          </w:tcPr>
          <w:p>
            <w:r>
              <w:t>Remove the 5 percent per-part cap and increase the aggregate delay exposure cap to align with project risk requirements.</w:t>
            </w:r>
          </w:p>
        </w:tc>
      </w:tr>
      <w:tr>
        <w:tc>
          <w:tcPr>
            <w:tcW w:type="dxa" w:w="2880"/>
          </w:tcPr>
          <w:p>
            <w:r>
              <w:t>Liquidated Damages</w:t>
            </w:r>
          </w:p>
        </w:tc>
        <w:tc>
          <w:tcPr>
            <w:tcW w:type="dxa" w:w="2880"/>
          </w:tcPr>
          <w:p>
            <w:r>
              <w:t>Equipment Delivery LD capped at 5%</w:t>
            </w:r>
          </w:p>
        </w:tc>
        <w:tc>
          <w:tcPr>
            <w:tcW w:type="dxa" w:w="2880"/>
          </w:tcPr>
          <w:p>
            <w:r>
              <w:t>Reduce the aggregate delay exposure cap to a maximum of 5 percent of the total Purchase Order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PO value.</w:t>
            </w:r>
          </w:p>
        </w:tc>
      </w:tr>
      <w:tr>
        <w:tc>
          <w:tcPr>
            <w:tcW w:type="dxa" w:w="2880"/>
          </w:tcPr>
          <w:p>
            <w:r>
              <w:t>Liquidated Damages</w:t>
            </w:r>
          </w:p>
        </w:tc>
        <w:tc>
          <w:tcPr>
            <w:tcW w:type="dxa" w:w="2880"/>
          </w:tcPr>
          <w:p>
            <w:r>
              <w:t>Remedial Work LD not applicable</w:t>
            </w:r>
          </w:p>
        </w:tc>
        <w:tc>
          <w:tcPr>
            <w:tcW w:type="dxa" w:w="2880"/>
          </w:tcPr>
          <w:p>
            <w:r>
              <w:t>Apply liquidated damages to remedial work delays and remove the exclusion for monetary charges related to remedial-work timing.</w:t>
            </w:r>
          </w:p>
        </w:tc>
      </w:tr>
      <w:tr>
        <w:tc>
          <w:tcPr>
            <w:tcW w:type="dxa" w:w="2880"/>
          </w:tcPr>
          <w:p>
            <w:r>
              <w:t>Guarantee</w:t>
            </w:r>
          </w:p>
        </w:tc>
        <w:tc>
          <w:tcPr>
            <w:tcW w:type="dxa" w:w="2880"/>
          </w:tcPr>
          <w:p>
            <w:r>
              <w:t>Warranty period defined</w:t>
            </w:r>
          </w:p>
        </w:tc>
        <w:tc>
          <w:tcPr>
            <w:tcW w:type="dxa" w:w="2880"/>
          </w:tcPr>
          <w:p>
            <w:r>
              <w:t>Remove the whichever occurs earlier limitation and ensure all repaired components are guaranteed for a full twelve months from completion of repair regardless of original dispatch date.</w:t>
            </w:r>
          </w:p>
        </w:tc>
      </w:tr>
      <w:tr>
        <w:tc>
          <w:tcPr>
            <w:tcW w:type="dxa" w:w="2880"/>
          </w:tcPr>
          <w:p>
            <w:r>
              <w:t>Guarantee</w:t>
            </w:r>
          </w:p>
        </w:tc>
        <w:tc>
          <w:tcPr>
            <w:tcW w:type="dxa" w:w="2880"/>
          </w:tcPr>
          <w:p>
            <w:r>
              <w:t>2 months from commissioning or 18 months from dispatch</w:t>
            </w:r>
          </w:p>
        </w:tc>
        <w:tc>
          <w:tcPr>
            <w:tcW w:type="dxa" w:w="2880"/>
          </w:tcPr>
          <w:p>
            <w:r>
              <w:t>Ensure repaired or replaced components are guaranteed for twelve months from completion of repair or replacement regardless of the original dispatch date.</w:t>
            </w:r>
          </w:p>
        </w:tc>
      </w:tr>
      <w:tr>
        <w:tc>
          <w:tcPr>
            <w:tcW w:type="dxa" w:w="2880"/>
          </w:tcPr>
          <w:p>
            <w:r>
              <w:t>Guarantee</w:t>
            </w:r>
          </w:p>
        </w:tc>
        <w:tc>
          <w:tcPr>
            <w:tcW w:type="dxa" w:w="2880"/>
          </w:tcPr>
          <w:p>
            <w:r>
              <w:t>Repair/replacement warranty obligations defined</w:t>
            </w:r>
          </w:p>
        </w:tc>
        <w:tc>
          <w:tcPr>
            <w:tcW w:type="dxa" w:w="2880"/>
          </w:tcPr>
          <w:p>
            <w:r>
              <w:t>Ensure repaired or replaced components are guaranteed for a full twelve months regardless of the original equipment dispatch date.</w:t>
            </w:r>
          </w:p>
        </w:tc>
      </w:tr>
      <w:tr>
        <w:tc>
          <w:tcPr>
            <w:tcW w:type="dxa" w:w="2880"/>
          </w:tcPr>
          <w:p>
            <w:r>
              <w:t>Force Majeure</w:t>
            </w:r>
          </w:p>
        </w:tc>
        <w:tc>
          <w:tcPr>
            <w:tcW w:type="dxa" w:w="2880"/>
          </w:tcPr>
          <w:p>
            <w:r>
              <w:t>Force majeure events defined</w:t>
            </w:r>
          </w:p>
        </w:tc>
        <w:tc>
          <w:tcPr>
            <w:tcW w:type="dxa" w:w="2880"/>
          </w:tcPr>
          <w:p>
            <w:r>
              <w:t>Expand force majeure relief to include all subcontractors and vendors regardless of their status in Annex D.</w:t>
            </w:r>
          </w:p>
        </w:tc>
      </w:tr>
      <w:tr>
        <w:tc>
          <w:tcPr>
            <w:tcW w:type="dxa" w:w="2880"/>
          </w:tcPr>
          <w:p>
            <w:r>
              <w:t>Force Majeure</w:t>
            </w:r>
          </w:p>
        </w:tc>
        <w:tc>
          <w:tcPr>
            <w:tcW w:type="dxa" w:w="2880"/>
          </w:tcPr>
          <w:p>
            <w:r>
              <w:t>Applies to subcontractors</w:t>
            </w:r>
          </w:p>
        </w:tc>
        <w:tc>
          <w:tcPr>
            <w:tcW w:type="dxa" w:w="2880"/>
          </w:tcPr>
          <w:p>
            <w:r>
              <w:t>Extend force majeure relief to all subcontractors and vendors regardless of their status as named Tier-1 suppliers or approved carriers.</w:t>
            </w:r>
          </w:p>
        </w:tc>
      </w:tr>
      <w:tr>
        <w:tc>
          <w:tcPr>
            <w:tcW w:type="dxa" w:w="2880"/>
          </w:tcPr>
          <w:p>
            <w:r>
              <w:t>Force Majeure</w:t>
            </w:r>
          </w:p>
        </w:tc>
        <w:tc>
          <w:tcPr>
            <w:tcW w:type="dxa" w:w="2880"/>
          </w:tcPr>
          <w:p>
            <w:r>
              <w:t>Notice obligations defined</w:t>
            </w:r>
          </w:p>
        </w:tc>
        <w:tc>
          <w:tcPr>
            <w:tcW w:type="dxa" w:w="2880"/>
          </w:tcPr>
          <w:p>
            <w:r>
              <w:t>Expand Force Majeure relief to include all subcontractors and logistics providers regardless of their designation in Annex D.</w:t>
            </w:r>
          </w:p>
        </w:tc>
      </w:tr>
      <w:tr>
        <w:tc>
          <w:tcPr>
            <w:tcW w:type="dxa" w:w="2880"/>
          </w:tcPr>
          <w:p>
            <w:r>
              <w:t>Termination</w:t>
            </w:r>
          </w:p>
        </w:tc>
        <w:tc>
          <w:tcPr>
            <w:tcW w:type="dxa" w:w="2880"/>
          </w:tcPr>
          <w:p>
            <w:r>
              <w:t>Termination rights defined</w:t>
            </w:r>
          </w:p>
        </w:tc>
        <w:tc>
          <w:tcPr>
            <w:tcW w:type="dxa" w:w="2880"/>
          </w:tcPr>
          <w:p>
            <w:r>
              <w:t>Replace the percentage-based fee schedule with a reimbursement model limited to documented, reasonable, and verifiable non-cancelable costs incurred by Supplier.</w:t>
            </w:r>
          </w:p>
        </w:tc>
      </w:tr>
      <w:tr>
        <w:tc>
          <w:tcPr>
            <w:tcW w:type="dxa" w:w="2880"/>
          </w:tcPr>
          <w:p>
            <w:r>
              <w:t>Termination</w:t>
            </w:r>
          </w:p>
        </w:tc>
        <w:tc>
          <w:tcPr>
            <w:tcW w:type="dxa" w:w="2880"/>
          </w:tcPr>
          <w:p>
            <w:r>
              <w:t>Cancellation fee structure defined</w:t>
            </w:r>
          </w:p>
        </w:tc>
        <w:tc>
          <w:tcPr>
            <w:tcW w:type="dxa" w:w="2880"/>
          </w:tcPr>
          <w:p>
            <w:r>
              <w:t>Reduce the percentage fees across all time brackets and cap total convenience cancellation exposure at a maximum of 25 percent of the undelivered balance.</w:t>
            </w:r>
          </w:p>
        </w:tc>
      </w:tr>
      <w:tr>
        <w:tc>
          <w:tcPr>
            <w:tcW w:type="dxa" w:w="2880"/>
          </w:tcPr>
          <w:p>
            <w:r>
              <w:t>Termination</w:t>
            </w:r>
          </w:p>
        </w:tc>
        <w:tc>
          <w:tcPr>
            <w:tcW w:type="dxa" w:w="2880"/>
          </w:tcPr>
          <w:p>
            <w:r>
              <w:t>61-90 day cancellation fee 40%</w:t>
            </w:r>
          </w:p>
        </w:tc>
        <w:tc>
          <w:tcPr>
            <w:tcW w:type="dxa" w:w="2880"/>
          </w:tcPr>
          <w:p>
            <w:r>
              <w:t>Increase the convenience cancellation fee for the 61-90 days window to 40 percent of the order value.</w:t>
            </w:r>
          </w:p>
        </w:tc>
      </w:tr>
      <w:tr>
        <w:tc>
          <w:tcPr>
            <w:tcW w:type="dxa" w:w="2880"/>
          </w:tcPr>
          <w:p>
            <w:r>
              <w:t>Suspension</w:t>
            </w:r>
          </w:p>
        </w:tc>
        <w:tc>
          <w:tcPr>
            <w:tcW w:type="dxa" w:w="2880"/>
          </w:tcPr>
          <w:p>
            <w:r>
              <w:t>Maximum 2 suspensions and 30 days aggregate</w:t>
            </w:r>
          </w:p>
        </w:tc>
        <w:tc>
          <w:tcPr>
            <w:tcW w:type="dxa" w:w="2880"/>
          </w:tcPr>
          <w:p>
            <w:r>
              <w:t>Include all suspension types, including regulatory and safety stoppages, within the two-occurrence and 30-day aggregate limit.</w:t>
            </w:r>
          </w:p>
        </w:tc>
      </w:tr>
      <w:tr>
        <w:tc>
          <w:tcPr>
            <w:tcW w:type="dxa" w:w="2880"/>
          </w:tcPr>
          <w:p>
            <w:r>
              <w:t>Suspension</w:t>
            </w:r>
          </w:p>
        </w:tc>
        <w:tc>
          <w:tcPr>
            <w:tcW w:type="dxa" w:w="2880"/>
          </w:tcPr>
          <w:p>
            <w:r>
              <w:t>Supplier obligations during suspension defined</w:t>
            </w:r>
          </w:p>
        </w:tc>
        <w:tc>
          <w:tcPr>
            <w:tcW w:type="dxa" w:w="2880"/>
          </w:tcPr>
          <w:p>
            <w:r>
              <w:t>Define specific hourly or daily rates for storage and remobilization costs and remove the subjective requirement for resource availability during restart.</w:t>
            </w:r>
          </w:p>
        </w:tc>
      </w:tr>
      <w:tr>
        <w:tc>
          <w:tcPr>
            <w:tcW w:type="dxa" w:w="2880"/>
          </w:tcPr>
          <w:p>
            <w:r>
              <w:t>Governing Law</w:t>
            </w:r>
          </w:p>
        </w:tc>
        <w:tc>
          <w:tcPr>
            <w:tcW w:type="dxa" w:w="2880"/>
          </w:tcPr>
          <w:p>
            <w:r>
              <w:t>Applicable law specified</w:t>
            </w:r>
          </w:p>
        </w:tc>
        <w:tc>
          <w:tcPr>
            <w:tcW w:type="dxa" w:w="2880"/>
          </w:tcPr>
          <w:p>
            <w:r>
              <w:t>Align governing law, seat of arbitration, and court jurisdiction to a single consistent jurisdiction to eliminate fragmented proceedings.</w:t>
            </w:r>
          </w:p>
        </w:tc>
      </w:tr>
      <w:tr>
        <w:tc>
          <w:tcPr>
            <w:tcW w:type="dxa" w:w="2880"/>
          </w:tcPr>
          <w:p>
            <w:r>
              <w:t>Dispute Resolution</w:t>
            </w:r>
          </w:p>
        </w:tc>
        <w:tc>
          <w:tcPr>
            <w:tcW w:type="dxa" w:w="2880"/>
          </w:tcPr>
          <w:p>
            <w:r>
              <w:t>Arbitration mechanism defined</w:t>
            </w:r>
          </w:p>
        </w:tc>
        <w:tc>
          <w:tcPr>
            <w:tcW w:type="dxa" w:w="2880"/>
          </w:tcPr>
          <w:p>
            <w:r>
              <w:t>Remove the mandatory technical expert referral and allow all disputes to proceed directly to Singapore arbitration.</w:t>
            </w:r>
          </w:p>
        </w:tc>
      </w:tr>
      <w:tr>
        <w:tc>
          <w:tcPr>
            <w:tcW w:type="dxa" w:w="2880"/>
          </w:tcPr>
          <w:p>
            <w:r>
              <w:t>Dispute Resolution</w:t>
            </w:r>
          </w:p>
        </w:tc>
        <w:tc>
          <w:tcPr>
            <w:tcW w:type="dxa" w:w="2880"/>
          </w:tcPr>
          <w:p>
            <w:r>
              <w:t>Seat of arbitration specified</w:t>
            </w:r>
          </w:p>
        </w:tc>
        <w:tc>
          <w:tcPr>
            <w:tcW w:type="dxa" w:w="2880"/>
          </w:tcPr>
          <w:p>
            <w:r>
              <w:t>Remove the technical expert requirement and mandate that all disputes proceed directly to Singapore arbitration.</w:t>
            </w:r>
          </w:p>
        </w:tc>
      </w:tr>
      <w:tr>
        <w:tc>
          <w:tcPr>
            <w:tcW w:type="dxa" w:w="2880"/>
          </w:tcPr>
          <w:p>
            <w:r>
              <w:t>Liability</w:t>
            </w:r>
          </w:p>
        </w:tc>
        <w:tc>
          <w:tcPr>
            <w:tcW w:type="dxa" w:w="2880"/>
          </w:tcPr>
          <w:p>
            <w:r>
              <w:t>Liability carve-outs defined</w:t>
            </w:r>
          </w:p>
        </w:tc>
        <w:tc>
          <w:tcPr>
            <w:tcW w:type="dxa" w:w="2880"/>
          </w:tcPr>
          <w:p>
            <w:r>
              <w:t>Increase the defect liability cap and expand carve-outs to include all critical equipment failures regardless of safety shutdown status.</w:t>
            </w:r>
          </w:p>
        </w:tc>
      </w:tr>
      <w:tr>
        <w:tc>
          <w:tcPr>
            <w:tcW w:type="dxa" w:w="2880"/>
          </w:tcPr>
          <w:p>
            <w:r>
              <w:t>Consequential Damages</w:t>
            </w:r>
          </w:p>
        </w:tc>
        <w:tc>
          <w:tcPr>
            <w:tcW w:type="dxa" w:w="2880"/>
          </w:tcPr>
          <w:p>
            <w:r>
              <w:t>Consequential damages excluded</w:t>
            </w:r>
          </w:p>
        </w:tc>
        <w:tc>
          <w:tcPr>
            <w:tcW w:type="dxa" w:w="2880"/>
          </w:tcPr>
          <w:p>
            <w:r>
              <w:t>Remove exceptions in Article 00511.15.2 to ensure a comprehensive and unconditional waiver of consequential damages for all claims.</w:t>
            </w:r>
          </w:p>
        </w:tc>
      </w:tr>
      <w:tr>
        <w:tc>
          <w:tcPr>
            <w:tcW w:type="dxa" w:w="2880"/>
          </w:tcPr>
          <w:p>
            <w:r>
              <w:t>Consequential Damages</w:t>
            </w:r>
          </w:p>
        </w:tc>
        <w:tc>
          <w:tcPr>
            <w:tcW w:type="dxa" w:w="2880"/>
          </w:tcPr>
          <w:p>
            <w:r>
              <w:t>Exceptions to exclusion defined</w:t>
            </w:r>
          </w:p>
        </w:tc>
        <w:tc>
          <w:tcPr>
            <w:tcW w:type="dxa" w:w="2880"/>
          </w:tcPr>
          <w:p>
            <w:r>
              <w:t>Narrow the exceptions to the consequential damages waiver and subject all carve-outs to an aggregate liability cap.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