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Contract Analysis Report</w:t>
      </w:r>
    </w:p>
    <w:p>
      <w:pPr>
        <w:pStyle w:val="Heading2"/>
      </w:pPr>
      <w:r>
        <w:t>Table 1 - Compliance Analysis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Clause</w:t>
            </w:r>
          </w:p>
        </w:tc>
        <w:tc>
          <w:tcPr>
            <w:tcW w:type="dxa" w:w="1234"/>
          </w:tcPr>
          <w:p>
            <w:r>
              <w:t>Requirement</w:t>
            </w:r>
          </w:p>
        </w:tc>
        <w:tc>
          <w:tcPr>
            <w:tcW w:type="dxa" w:w="1234"/>
          </w:tcPr>
          <w:p>
            <w:r>
              <w:t>Summary of Key Details</w:t>
            </w:r>
          </w:p>
        </w:tc>
        <w:tc>
          <w:tcPr>
            <w:tcW w:type="dxa" w:w="1234"/>
          </w:tcPr>
          <w:p>
            <w:r>
              <w:t>Status</w:t>
            </w:r>
          </w:p>
        </w:tc>
        <w:tc>
          <w:tcPr>
            <w:tcW w:type="dxa" w:w="1234"/>
          </w:tcPr>
          <w:p>
            <w:r>
              <w:t>Evidence</w:t>
            </w:r>
          </w:p>
        </w:tc>
        <w:tc>
          <w:tcPr>
            <w:tcW w:type="dxa" w:w="1234"/>
          </w:tcPr>
          <w:p>
            <w:r>
              <w:t>Assessor Remarks</w:t>
            </w:r>
          </w:p>
        </w:tc>
        <w:tc>
          <w:tcPr>
            <w:tcW w:type="dxa" w:w="1234"/>
          </w:tcPr>
          <w:p>
            <w:r>
              <w:t>Historical Action Taken</w:t>
            </w:r>
          </w:p>
        </w:tc>
      </w:tr>
      <w:tr>
        <w:tc>
          <w:tcPr>
            <w:tcW w:type="dxa" w:w="1234"/>
          </w:tcPr>
          <w:p>
            <w:r>
              <w:t>Payment Terms</w:t>
            </w:r>
          </w:p>
        </w:tc>
        <w:tc>
          <w:tcPr>
            <w:tcW w:type="dxa" w:w="1234"/>
          </w:tcPr>
          <w:p>
            <w:r>
              <w:t>45% Minimum Advance</w:t>
            </w:r>
          </w:p>
        </w:tc>
        <w:tc>
          <w:tcPr>
            <w:tcW w:type="dxa" w:w="1234"/>
          </w:tcPr>
          <w:p>
            <w:r>
              <w:t>Provisions regarding '45% Minimum Advance': This retention clause is not intended to reduce the agreed advance percentage but can affect payment timing.</w:t>
            </w:r>
          </w:p>
        </w:tc>
        <w:tc>
          <w:tcPr>
            <w:tcW w:type="dxa" w:w="1234"/>
          </w:tcPr>
          <w:p>
            <w:r>
              <w:t>Partially Met</w:t>
            </w:r>
          </w:p>
        </w:tc>
        <w:tc>
          <w:tcPr>
            <w:tcW w:type="dxa" w:w="1234"/>
          </w:tcPr>
          <w:p>
            <w:r>
              <w:t>This retention clause is not intended to reduce the agreed advance percentage but can</w:t>
              <w:br/>
              <w:t>affect payment timing.</w:t>
            </w:r>
          </w:p>
        </w:tc>
        <w:tc>
          <w:tcPr>
            <w:tcW w:type="dxa" w:w="1234"/>
          </w:tcPr>
          <w:p>
            <w:r>
              <w:t>Advance payment split across conditions</w:t>
            </w:r>
          </w:p>
        </w:tc>
        <w:tc>
          <w:tcPr>
            <w:tcW w:type="dxa" w:w="1234"/>
          </w:tcPr>
          <w:p>
            <w:r>
              <w:t>Historically, advance payment percentages were either escalated to the CFO for exceptional lump-sum approval to lock in pricing or countered with rolling letters of credit when funding gaps occurred.</w:t>
              <w:br/>
              <w:br/>
              <w:t>Historical Reference</w:t>
              <w:br/>
              <w:t>Sources:</w:t>
              <w:br/>
              <w:t>• d1.docx – Payment Terms</w:t>
              <w:br/>
              <w:t>• d2.docx – Payment Terms</w:t>
            </w:r>
          </w:p>
        </w:tc>
      </w:tr>
      <w:tr>
        <w:tc>
          <w:tcPr>
            <w:tcW w:type="dxa" w:w="1234"/>
          </w:tcPr>
          <w:p>
            <w:r>
              <w:t>Payment Terms</w:t>
            </w:r>
          </w:p>
        </w:tc>
        <w:tc>
          <w:tcPr>
            <w:tcW w:type="dxa" w:w="1234"/>
          </w:tcPr>
          <w:p>
            <w:r>
              <w:t>All payments Net 30 days from invoice</w:t>
            </w:r>
          </w:p>
        </w:tc>
        <w:tc>
          <w:tcPr>
            <w:tcW w:type="dxa" w:w="1234"/>
          </w:tcPr>
          <w:p>
            <w:r>
              <w:t>Provisions regarding 'All payments Net 30 days from invoice': Buyer shall pay accepted invoices within thirty (30) days after receipt of a valid tax invoice. An invoice is valid only after the corresponding goods receipt note, inspection release, and packing-list reconciliation are completed in Buyer's system. If those acceptance records are completed after invoice receipt, the thirty-day clock starts from the later acceptance record, not the invoice date.</w:t>
            </w:r>
          </w:p>
        </w:tc>
        <w:tc>
          <w:tcPr>
            <w:tcW w:type="dxa" w:w="1234"/>
          </w:tcPr>
          <w:p>
            <w:r>
              <w:t>Partially Met</w:t>
            </w:r>
          </w:p>
        </w:tc>
        <w:tc>
          <w:tcPr>
            <w:tcW w:type="dxa" w:w="1234"/>
          </w:tcPr>
          <w:p>
            <w:r>
              <w:t>Buyer shall pay accepted invoices within thirty (30) days after receipt of a valid tax invoice. An invoice is valid only after the corresponding goods receipt note, inspection release, and packing-list reconciliation are completed in Buyer's system. If those acceptance records are completed after invoice receipt, the thirty-day clock starts from the later acceptance record, not the invoice date.</w:t>
            </w:r>
          </w:p>
        </w:tc>
        <w:tc>
          <w:tcPr>
            <w:tcW w:type="dxa" w:w="1234"/>
          </w:tcPr>
          <w:p>
            <w:r>
              <w:t>The 30-day term is present, but it is subject to conditions: the invoice must be 'accepted' and 'valid', and the payment clock may be triggered by the latest acceptance record rather than the invoice date.</w:t>
            </w:r>
          </w:p>
        </w:tc>
        <w:tc>
          <w:tcPr>
            <w:tcW w:type="dxa" w:w="1234"/>
          </w:tcPr>
          <w:p>
            <w:r>
              <w:t>Deviations from the Net 30 standard were previously managed via executive waivers, granting extended terms in exchange for price discounts.</w:t>
              <w:br/>
              <w:br/>
              <w:t>Historical Reference</w:t>
              <w:br/>
              <w:t>Source:</w:t>
              <w:br/>
              <w:t>d1.docx</w:t>
              <w:br/>
              <w:t>Clause: Payment Terms</w:t>
              <w:br/>
              <w:t>Requirement: All payments Net 30 days from invoice</w:t>
              <w:br/>
              <w:br/>
              <w:t>Quote:</w:t>
              <w:br/>
              <w:t>"Vendor wording accepted via executive waiver; extended terms granted in exchange for a 2% price discount."</w:t>
            </w:r>
          </w:p>
        </w:tc>
      </w:tr>
      <w:tr>
        <w:tc>
          <w:tcPr>
            <w:tcW w:type="dxa" w:w="1234"/>
          </w:tcPr>
          <w:p>
            <w:r>
              <w:t>Payment Terms</w:t>
            </w:r>
          </w:p>
        </w:tc>
        <w:tc>
          <w:tcPr>
            <w:tcW w:type="dxa" w:w="1234"/>
          </w:tcPr>
          <w:p>
            <w:r>
              <w:t>Partial delivery and invoicing allowed</w:t>
            </w:r>
          </w:p>
        </w:tc>
        <w:tc>
          <w:tcPr>
            <w:tcW w:type="dxa" w:w="1234"/>
          </w:tcPr>
          <w:p>
            <w:r>
              <w:t>Provisions regarding 'Partial delivery and invoicing allowed': Supplier may dispatch Lot A, Lot B, and Lot C separately and may raise a corresponding invoice for each completed lot.</w:t>
            </w:r>
          </w:p>
        </w:tc>
        <w:tc>
          <w:tcPr>
            <w:tcW w:type="dxa" w:w="1234"/>
          </w:tcPr>
          <w:p>
            <w:r>
              <w:t>Met</w:t>
            </w:r>
          </w:p>
        </w:tc>
        <w:tc>
          <w:tcPr>
            <w:tcW w:type="dxa" w:w="1234"/>
          </w:tcPr>
          <w:p>
            <w:r>
              <w:t>Supplier may dispatch Lot A, Lot B, and Lot C separately and may raise a corresponding invoice for each completed lot.</w:t>
            </w:r>
          </w:p>
        </w:tc>
        <w:tc>
          <w:tcPr>
            <w:tcW w:type="dxa" w:w="1234"/>
          </w:tcPr>
          <w:p>
            <w:r>
              <w:t>The contract explicitly allows for the separate dispatch of lots and corresponding invoicing for each, which satisfies the requirement for partial delivery and invoicing.</w:t>
            </w:r>
          </w:p>
        </w:tc>
        <w:tc>
          <w:tcPr>
            <w:tcW w:type="dxa" w:w="1234"/>
          </w:tcPr>
          <w:p>
            <w:r>
              <w:t>Past resolutions involved updating clauses based on contract review board feedback or accepting restrictive 'Full System Delivery' terms via executive waiver to maintain sole-source exclusivity.</w:t>
              <w:br/>
              <w:br/>
              <w:t>Historical Reference</w:t>
              <w:br/>
              <w:t>Sources:</w:t>
              <w:br/>
              <w:t>• d1.docx – Payment Terms</w:t>
              <w:br/>
              <w:t>• d2.docx – Payment Terms</w:t>
            </w:r>
          </w:p>
        </w:tc>
      </w:tr>
      <w:tr>
        <w:tc>
          <w:tcPr>
            <w:tcW w:type="dxa" w:w="1234"/>
          </w:tcPr>
          <w:p>
            <w:r>
              <w:t>Bank Guarantees</w:t>
            </w:r>
          </w:p>
        </w:tc>
        <w:tc>
          <w:tcPr>
            <w:tcW w:type="dxa" w:w="1234"/>
          </w:tcPr>
          <w:p>
            <w:r>
              <w:t>Performance Guarantee not exceeding 10%</w:t>
            </w:r>
          </w:p>
        </w:tc>
        <w:tc>
          <w:tcPr>
            <w:tcW w:type="dxa" w:w="1234"/>
          </w:tcPr>
          <w:p>
            <w:r>
              <w:t>Provisions regarding 'Performance Guarantee not exceeding 10%': In addition to the guarantee in Article 00511. 1, Supplier shall furnish a temporary bridge performance guarantee equal to two percent (2%) of the Purchase Order value from the date of the first advance tranche until the earlier of successful FAT release or first dispatch.</w:t>
            </w:r>
          </w:p>
        </w:tc>
        <w:tc>
          <w:tcPr>
            <w:tcW w:type="dxa" w:w="1234"/>
          </w:tcPr>
          <w:p>
            <w:r>
              <w:t>Not Met</w:t>
            </w:r>
          </w:p>
        </w:tc>
        <w:tc>
          <w:tcPr>
            <w:tcW w:type="dxa" w:w="1234"/>
          </w:tcPr>
          <w:p>
            <w:r>
              <w:t>In addition to the guarantee in Article 00511.3.1, Supplier shall furnish a temporary bridge performance</w:t>
              <w:br/>
              <w:t>guarantee equal to two percent (2%) of the Purchase Order value from the date of the first advance tranche until the earlier of successful</w:t>
              <w:br/>
              <w:t>FAT release or first dispatch.</w:t>
            </w:r>
          </w:p>
        </w:tc>
        <w:tc>
          <w:tcPr>
            <w:tcW w:type="dxa" w:w="1234"/>
          </w:tcPr>
          <w:p>
            <w:r>
              <w:t>Total security obligations found: 12.0%</w:t>
            </w:r>
          </w:p>
        </w:tc>
        <w:tc>
          <w:tcPr>
            <w:tcW w:type="dxa" w:w="1234"/>
          </w:tcPr>
          <w:p>
            <w:r>
              <w:t>Historically, performance security levels were reduced via legal overrides following the submission and review of the vendor's audited global asset records.</w:t>
              <w:br/>
              <w:br/>
              <w:t>Historical Reference</w:t>
              <w:br/>
              <w:t>Source:</w:t>
              <w:br/>
              <w:t>d1.docx</w:t>
              <w:br/>
              <w:t>Clause: Bank Guarantees</w:t>
              <w:br/>
              <w:t>Requirement: Performance Guarantee not exceeding 10%</w:t>
              <w:br/>
              <w:br/>
              <w:t>Quote:</w:t>
              <w:br/>
              <w:t>"Reduced performance security via legal override after vendor submitted audited global asset records."</w:t>
            </w:r>
          </w:p>
        </w:tc>
      </w:tr>
      <w:tr>
        <w:tc>
          <w:tcPr>
            <w:tcW w:type="dxa" w:w="1234"/>
          </w:tcPr>
          <w:p>
            <w:r>
              <w:t>Bank Guarantees</w:t>
            </w:r>
          </w:p>
        </w:tc>
        <w:tc>
          <w:tcPr>
            <w:tcW w:type="dxa" w:w="1234"/>
          </w:tcPr>
          <w:p>
            <w:r>
              <w:t>Bank Guarantee validity period defined</w:t>
            </w:r>
          </w:p>
        </w:tc>
        <w:tc>
          <w:tcPr>
            <w:tcW w:type="dxa" w:w="1234"/>
          </w:tcPr>
          <w:p>
            <w:r>
              <w:t>Provisions regarding 'Bank Guarantee validity period defined': Supplier shall furnish an unconditional performance bank guarantee equal to ten percent (10%) of the Purchase Order value, valid until expiry of the standard guarantee period plus ninety (90) days.</w:t>
            </w:r>
          </w:p>
        </w:tc>
        <w:tc>
          <w:tcPr>
            <w:tcW w:type="dxa" w:w="1234"/>
          </w:tcPr>
          <w:p>
            <w:r>
              <w:t>Met</w:t>
            </w:r>
          </w:p>
        </w:tc>
        <w:tc>
          <w:tcPr>
            <w:tcW w:type="dxa" w:w="1234"/>
          </w:tcPr>
          <w:p>
            <w:r>
              <w:t>Supplier shall furnish an unconditional performance bank guarantee equal to ten percent (10%)</w:t>
              <w:br/>
              <w:t>of the Purchase Order value, valid until expiry of the standard guarantee period plus ninety (90) days.</w:t>
            </w:r>
          </w:p>
        </w:tc>
        <w:tc>
          <w:tcPr>
            <w:tcW w:type="dxa" w:w="1234"/>
          </w:tcPr>
          <w:p>
            <w:r>
              <w:t>Supplier shall furnish an unconditional performance bank guarantee equal to ten percent (10%)</w:t>
              <w:br/>
              <w:t>of the Purchase Order value, valid until expiry of the standard guarantee period plus ninety (90) days.</w:t>
            </w:r>
          </w:p>
        </w:tc>
        <w:tc>
          <w:tcPr>
            <w:tcW w:type="dxa" w:w="1234"/>
          </w:tcPr>
          <w:p>
            <w:r>
              <w:t>Past discrepancies in validity periods were managed through internal audits, resulting in either deferred remediation in amendment cycles or formal demands for immediate legal correction.</w:t>
              <w:br/>
              <w:br/>
              <w:t>Historical Reference</w:t>
              <w:br/>
              <w:t>Sources:</w:t>
              <w:br/>
              <w:t>• d1.docx – Bank Guarantees</w:t>
              <w:br/>
              <w:t>• d2.docx – Bank Guarantees</w:t>
            </w:r>
          </w:p>
        </w:tc>
      </w:tr>
      <w:tr>
        <w:tc>
          <w:tcPr>
            <w:tcW w:type="dxa" w:w="1234"/>
          </w:tcPr>
          <w:p>
            <w:r>
              <w:t>Liquidated Damages</w:t>
            </w:r>
          </w:p>
        </w:tc>
        <w:tc>
          <w:tcPr>
            <w:tcW w:type="dxa" w:w="1234"/>
          </w:tcPr>
          <w:p>
            <w:r>
              <w:t>Documentation LD not applicable</w:t>
            </w:r>
          </w:p>
        </w:tc>
        <w:tc>
          <w:tcPr>
            <w:tcW w:type="dxa" w:w="1234"/>
          </w:tcPr>
          <w:p>
            <w:r>
              <w:t>Provisions regarding 'Documentation LD not applicable': For delay in delivery of equipment beyond the contractual delivery date, Supplier shall pay liquidated damages at zero point five percent (0. 5%) of the value of the undelivered part per completed week of delay.</w:t>
            </w:r>
          </w:p>
        </w:tc>
        <w:tc>
          <w:tcPr>
            <w:tcW w:type="dxa" w:w="1234"/>
          </w:tcPr>
          <w:p>
            <w:r>
              <w:t>Partially Met</w:t>
            </w:r>
          </w:p>
        </w:tc>
        <w:tc>
          <w:tcPr>
            <w:tcW w:type="dxa" w:w="1234"/>
          </w:tcPr>
          <w:p>
            <w:r>
              <w:t>For delay in delivery of equipment beyond the contractual delivery date, Supplier shall pay liquidated</w:t>
              <w:br/>
              <w:t>damages at zero point five percent (0.5%) of the value of the undelivered part per completed week of delay.</w:t>
            </w:r>
          </w:p>
        </w:tc>
        <w:tc>
          <w:tcPr>
            <w:tcW w:type="dxa" w:w="1234"/>
          </w:tcPr>
          <w:p>
            <w:r>
              <w:t>Clause contains material limitations, exceptions, carve-outs, conditions, or restricted applicability</w:t>
            </w:r>
          </w:p>
        </w:tc>
        <w:tc>
          <w:tcPr>
            <w:tcW w:type="dxa" w:w="1234"/>
          </w:tcPr>
          <w:p>
            <w:r>
              <w:t>Historically, documentation-related penalties were removed through negotiation to isolate administrative delays from core financial penalty engines.</w:t>
              <w:br/>
              <w:br/>
              <w:t>Historical Reference</w:t>
              <w:br/>
              <w:t>Sources:</w:t>
              <w:br/>
              <w:t>• d2.docx – Liquidated Damages</w:t>
              <w:br/>
              <w:t>• d1.docx – Liquidated Damages</w:t>
            </w:r>
          </w:p>
        </w:tc>
      </w:tr>
      <w:tr>
        <w:tc>
          <w:tcPr>
            <w:tcW w:type="dxa" w:w="1234"/>
          </w:tcPr>
          <w:p>
            <w:r>
              <w:t>Liquidated Damages</w:t>
            </w:r>
          </w:p>
        </w:tc>
        <w:tc>
          <w:tcPr>
            <w:tcW w:type="dxa" w:w="1234"/>
          </w:tcPr>
          <w:p>
            <w:r>
              <w:t>Equipment Delivery LD 0.5% per week</w:t>
            </w:r>
          </w:p>
        </w:tc>
        <w:tc>
          <w:tcPr>
            <w:tcW w:type="dxa" w:w="1234"/>
          </w:tcPr>
          <w:p>
            <w:r>
              <w:t>Provisions regarding 'Equipment Delivery LD 0.5% per week': For delay in delivery of equipment beyond the contractual delivery date, Supplier shall pay liquidated damages at zero point five percent (0. 5%) of the value of the undelivered part per completed week of delay.</w:t>
            </w:r>
          </w:p>
        </w:tc>
        <w:tc>
          <w:tcPr>
            <w:tcW w:type="dxa" w:w="1234"/>
          </w:tcPr>
          <w:p>
            <w:r>
              <w:t>Partially Met</w:t>
            </w:r>
          </w:p>
        </w:tc>
        <w:tc>
          <w:tcPr>
            <w:tcW w:type="dxa" w:w="1234"/>
          </w:tcPr>
          <w:p>
            <w:r>
              <w:t>For delay in delivery of equipment beyond the contractual delivery date, Supplier shall pay liquidated</w:t>
              <w:br/>
              <w:t>damages at zero point five percent (0.5%) of the value of the undelivered part per completed week of delay.</w:t>
            </w:r>
          </w:p>
        </w:tc>
        <w:tc>
          <w:tcPr>
            <w:tcW w:type="dxa" w:w="1234"/>
          </w:tcPr>
          <w:p>
            <w:r>
              <w:t>Clause contains material limitations, exceptions, carve-outs, conditions, or restricted applicability</w:t>
            </w:r>
          </w:p>
        </w:tc>
        <w:tc>
          <w:tcPr>
            <w:tcW w:type="dxa" w:w="1234"/>
          </w:tcPr>
          <w:p>
            <w:r>
              <w:t>Standard 0.5% weekly rates have been validated by legal teams, though some aggressive vendor rates were flagged during audits and attempted for negotiation.</w:t>
              <w:br/>
              <w:br/>
              <w:t>Historical Reference</w:t>
              <w:br/>
              <w:t>Sources:</w:t>
              <w:br/>
              <w:t>• d1.docx – Liquidated Damages</w:t>
              <w:br/>
              <w:t>• d2.docx – Liquidated Damages</w:t>
            </w:r>
          </w:p>
        </w:tc>
      </w:tr>
      <w:tr>
        <w:tc>
          <w:tcPr>
            <w:tcW w:type="dxa" w:w="1234"/>
          </w:tcPr>
          <w:p>
            <w:r>
              <w:t>Liquidated Damages</w:t>
            </w:r>
          </w:p>
        </w:tc>
        <w:tc>
          <w:tcPr>
            <w:tcW w:type="dxa" w:w="1234"/>
          </w:tcPr>
          <w:p>
            <w:r>
              <w:t>Equipment Delivery LD capped at 5%</w:t>
            </w:r>
          </w:p>
        </w:tc>
        <w:tc>
          <w:tcPr>
            <w:tcW w:type="dxa" w:w="1234"/>
          </w:tcPr>
          <w:p>
            <w:r>
              <w:t>Provisions regarding 'Equipment Delivery LD capped at 5%': For delay in delivery of equipment beyond the contractual delivery date, Supplier shall pay liquidated damages at zero point five percent (0. 5%) of the value of the undelivered part per completed week of delay.</w:t>
            </w:r>
          </w:p>
        </w:tc>
        <w:tc>
          <w:tcPr>
            <w:tcW w:type="dxa" w:w="1234"/>
          </w:tcPr>
          <w:p>
            <w:r>
              <w:t>Partially Met</w:t>
            </w:r>
          </w:p>
        </w:tc>
        <w:tc>
          <w:tcPr>
            <w:tcW w:type="dxa" w:w="1234"/>
          </w:tcPr>
          <w:p>
            <w:r>
              <w:t>For delay in delivery of equipment beyond the contractual delivery date, Supplier shall pay liquidated</w:t>
              <w:br/>
              <w:t>damages at zero point five percent (0.5%) of the value of the undelivered part per completed week of delay.</w:t>
            </w:r>
          </w:p>
        </w:tc>
        <w:tc>
          <w:tcPr>
            <w:tcW w:type="dxa" w:w="1234"/>
          </w:tcPr>
          <w:p>
            <w:r>
              <w:t>Clause contains material limitations, exceptions, carve-outs, conditions, or restricted applicability</w:t>
            </w:r>
          </w:p>
        </w:tc>
        <w:tc>
          <w:tcPr>
            <w:tcW w:type="dxa" w:w="1234"/>
          </w:tcPr>
          <w:p>
            <w:r>
              <w:t>Efforts were made to establish clear component-level boundaries to prevent uncapped liabilities from scaling to the global contract ceiling.</w:t>
              <w:br/>
              <w:br/>
              <w:t>Historical Reference</w:t>
              <w:br/>
              <w:t>Sources:</w:t>
              <w:br/>
              <w:t>• d2.docx – Liquidated Damages</w:t>
              <w:br/>
              <w:t>• d1.docx – Liquidated Damages</w:t>
            </w:r>
          </w:p>
        </w:tc>
      </w:tr>
      <w:tr>
        <w:tc>
          <w:tcPr>
            <w:tcW w:type="dxa" w:w="1234"/>
          </w:tcPr>
          <w:p>
            <w:r>
              <w:t>Liquidated Damages</w:t>
            </w:r>
          </w:p>
        </w:tc>
        <w:tc>
          <w:tcPr>
            <w:tcW w:type="dxa" w:w="1234"/>
          </w:tcPr>
          <w:p>
            <w:r>
              <w:t>Aggregate LD capped at 5% PO value</w:t>
            </w:r>
          </w:p>
        </w:tc>
        <w:tc>
          <w:tcPr>
            <w:tcW w:type="dxa" w:w="1234"/>
          </w:tcPr>
          <w:p>
            <w:r>
              <w:t>Provisions regarding 'Aggregate LD capped at 5% PO value': For delay in delivery of equipment beyond the contractual delivery date, Supplier shall pay liquidated damages at zero point five percent (0. 5%) of the value of the undelivered part per completed week of delay.</w:t>
            </w:r>
          </w:p>
        </w:tc>
        <w:tc>
          <w:tcPr>
            <w:tcW w:type="dxa" w:w="1234"/>
          </w:tcPr>
          <w:p>
            <w:r>
              <w:t>Not Met</w:t>
            </w:r>
          </w:p>
        </w:tc>
        <w:tc>
          <w:tcPr>
            <w:tcW w:type="dxa" w:w="1234"/>
          </w:tcPr>
          <w:p>
            <w:r>
              <w:t>For delay in delivery of equipment beyond the contractual delivery date, Supplier shall pay liquidated</w:t>
              <w:br/>
              <w:t>damages at zero point five percent (0.5%) of the value of the undelivered part per completed week of delay.</w:t>
            </w:r>
          </w:p>
        </w:tc>
        <w:tc>
          <w:tcPr>
            <w:tcW w:type="dxa" w:w="1234"/>
          </w:tcPr>
          <w:p>
            <w:r>
              <w:t>Found 7.5% cap</w:t>
            </w:r>
          </w:p>
        </w:tc>
        <w:tc>
          <w:tcPr>
            <w:tcW w:type="dxa" w:w="1234"/>
          </w:tcPr>
          <w:p>
            <w:r>
              <w:t>Absolute 5% ceilings for cumulative liquidated damages were established during global commercial settlement phases.</w:t>
              <w:br/>
              <w:br/>
              <w:t>Historical Reference</w:t>
              <w:br/>
              <w:t>Source:</w:t>
              <w:br/>
              <w:t>d1.docx</w:t>
              <w:br/>
              <w:t>Clause: Liquidated Damages</w:t>
              <w:br/>
              <w:t>Requirement: Aggregate LD capped at 5% PO value</w:t>
              <w:br/>
              <w:br/>
              <w:t>Quote:</w:t>
              <w:br/>
              <w:t>"Negotiated lower LD cap and established absolute 5% ceiling during global commercial settlement."</w:t>
            </w:r>
          </w:p>
        </w:tc>
      </w:tr>
      <w:tr>
        <w:tc>
          <w:tcPr>
            <w:tcW w:type="dxa" w:w="1234"/>
          </w:tcPr>
          <w:p>
            <w:r>
              <w:t>Liquidated Damages</w:t>
            </w:r>
          </w:p>
        </w:tc>
        <w:tc>
          <w:tcPr>
            <w:tcW w:type="dxa" w:w="1234"/>
          </w:tcPr>
          <w:p>
            <w:r>
              <w:t>Remedial Work LD not applicable</w:t>
            </w:r>
          </w:p>
        </w:tc>
        <w:tc>
          <w:tcPr>
            <w:tcW w:type="dxa" w:w="1234"/>
          </w:tcPr>
          <w:p>
            <w:r>
              <w:t>Provisions regarding 'Remedial Work LD not applicable': For delay in delivery of equipment beyond the contractual delivery date, Supplier shall pay liquidated damages at zero point five percent (0. 5%) of the value of the undelivered part per completed week of delay.</w:t>
            </w:r>
          </w:p>
        </w:tc>
        <w:tc>
          <w:tcPr>
            <w:tcW w:type="dxa" w:w="1234"/>
          </w:tcPr>
          <w:p>
            <w:r>
              <w:t>Partially Met</w:t>
            </w:r>
          </w:p>
        </w:tc>
        <w:tc>
          <w:tcPr>
            <w:tcW w:type="dxa" w:w="1234"/>
          </w:tcPr>
          <w:p>
            <w:r>
              <w:t>For delay in delivery of equipment beyond the contractual delivery date, Supplier shall pay liquidated</w:t>
              <w:br/>
              <w:t>damages at zero point five percent (0.5%) of the value of the undelivered part per completed week of delay.</w:t>
            </w:r>
          </w:p>
        </w:tc>
        <w:tc>
          <w:tcPr>
            <w:tcW w:type="dxa" w:w="1234"/>
          </w:tcPr>
          <w:p>
            <w:r>
              <w:t>Clause contains material limitations, exceptions, carve-outs, conditions, or restricted applicability</w:t>
            </w:r>
          </w:p>
        </w:tc>
        <w:tc>
          <w:tcPr>
            <w:tcW w:type="dxa" w:w="1234"/>
          </w:tcPr>
          <w:p>
            <w:r>
              <w:t>Procurement teams have previously removed conditional dependencies to ensure penalties do not accrue during active engineering remediation.</w:t>
              <w:br/>
              <w:br/>
              <w:t>Historical Reference</w:t>
              <w:br/>
              <w:t>Sources:</w:t>
              <w:br/>
              <w:t>• d1.docx – Liquidated Damages</w:t>
              <w:br/>
              <w:t>• d2.docx – Liquidated Damages</w:t>
            </w:r>
          </w:p>
        </w:tc>
      </w:tr>
      <w:tr>
        <w:tc>
          <w:tcPr>
            <w:tcW w:type="dxa" w:w="1234"/>
          </w:tcPr>
          <w:p>
            <w:r>
              <w:t>Guarantee</w:t>
            </w:r>
          </w:p>
        </w:tc>
        <w:tc>
          <w:tcPr>
            <w:tcW w:type="dxa" w:w="1234"/>
          </w:tcPr>
          <w:p>
            <w:r>
              <w:t>Warranty period defined</w:t>
            </w:r>
          </w:p>
        </w:tc>
        <w:tc>
          <w:tcPr>
            <w:tcW w:type="dxa" w:w="1234"/>
          </w:tcPr>
          <w:p>
            <w:r>
              <w:t>Provisions regarding 'Warranty period defined': Any repaired or replaced component shall be guaranteed for twelve (12) months from completion of repair or replacement, or until eighteen (18) months from original dispatch of the affected equipment, whichever occurs earlier.</w:t>
            </w:r>
          </w:p>
        </w:tc>
        <w:tc>
          <w:tcPr>
            <w:tcW w:type="dxa" w:w="1234"/>
          </w:tcPr>
          <w:p>
            <w:r>
              <w:t>Partially Met</w:t>
            </w:r>
          </w:p>
        </w:tc>
        <w:tc>
          <w:tcPr>
            <w:tcW w:type="dxa" w:w="1234"/>
          </w:tcPr>
          <w:p>
            <w:r>
              <w:t>Any repaired or replaced component shall be guaranteed for twelve (12) months from completion of</w:t>
              <w:br/>
              <w:t>repair or replacement, or until eighteen (18) months from original dispatch of the affected equipment, whichever occurs earlier.</w:t>
            </w:r>
          </w:p>
        </w:tc>
        <w:tc>
          <w:tcPr>
            <w:tcW w:type="dxa" w:w="1234"/>
          </w:tcPr>
          <w:p>
            <w:r>
              <w:t>Clause contains material limitations, exceptions, carve-outs, conditions, or restricted applicability</w:t>
            </w:r>
          </w:p>
        </w:tc>
        <w:tc>
          <w:tcPr>
            <w:tcW w:type="dxa" w:w="1234"/>
          </w:tcPr>
          <w:p>
            <w:r>
              <w:t>Commercial teams historically secured extended warranty periods by negotiating reciprocal adjustments to maritime shipping or intellectual property clauses.</w:t>
              <w:br/>
              <w:br/>
              <w:t>Historical Reference</w:t>
              <w:br/>
              <w:t>Sources:</w:t>
              <w:br/>
              <w:t>• d1.docx – Guarantee</w:t>
              <w:br/>
              <w:t>• d2.docx – Guarantee</w:t>
            </w:r>
          </w:p>
        </w:tc>
      </w:tr>
      <w:tr>
        <w:tc>
          <w:tcPr>
            <w:tcW w:type="dxa" w:w="1234"/>
          </w:tcPr>
          <w:p>
            <w:r>
              <w:t>Guarantee</w:t>
            </w:r>
          </w:p>
        </w:tc>
        <w:tc>
          <w:tcPr>
            <w:tcW w:type="dxa" w:w="1234"/>
          </w:tcPr>
          <w:p>
            <w:r>
              <w:t>2 months from commissioning or 18 months from dispatch</w:t>
            </w:r>
          </w:p>
        </w:tc>
        <w:tc>
          <w:tcPr>
            <w:tcW w:type="dxa" w:w="1234"/>
          </w:tcPr>
          <w:p>
            <w:r>
              <w:t>Provisions regarding '2 months from commissioning or 18 months from dispatch': Any repaired or replaced component shall be guaranteed for twelve (12) months from completion of repair or replacement, or until eighteen (18) months from original dispatch of the affected equipment, whichever occurs earlier.</w:t>
            </w:r>
          </w:p>
        </w:tc>
        <w:tc>
          <w:tcPr>
            <w:tcW w:type="dxa" w:w="1234"/>
          </w:tcPr>
          <w:p>
            <w:r>
              <w:t>Partially Met</w:t>
            </w:r>
          </w:p>
        </w:tc>
        <w:tc>
          <w:tcPr>
            <w:tcW w:type="dxa" w:w="1234"/>
          </w:tcPr>
          <w:p>
            <w:r>
              <w:t>Any repaired or replaced component shall be guaranteed for twelve (12) months from completion of</w:t>
              <w:br/>
              <w:t>repair or replacement, or until eighteen (18) months from original dispatch of the affected equipment, whichever occurs earlier.</w:t>
            </w:r>
          </w:p>
        </w:tc>
        <w:tc>
          <w:tcPr>
            <w:tcW w:type="dxa" w:w="1234"/>
          </w:tcPr>
          <w:p>
            <w:r>
              <w:t>Clause contains material limitations, exceptions, carve-outs, conditions, or restricted applicability</w:t>
            </w:r>
          </w:p>
        </w:tc>
        <w:tc>
          <w:tcPr>
            <w:tcW w:type="dxa" w:w="1234"/>
          </w:tcPr>
          <w:p>
            <w:r>
              <w:t>Discrepancies in commissioning timelines were either escalated to the Project Director for risk acceptance or renegotiated during legal review to remove restrictive environmental exceptions.</w:t>
              <w:br/>
              <w:br/>
              <w:t>Historical Reference</w:t>
              <w:br/>
              <w:t>Sources:</w:t>
              <w:br/>
              <w:t>• d1.docx – Guarantee</w:t>
              <w:br/>
              <w:t>• d2.docx – Guarantee</w:t>
            </w:r>
          </w:p>
        </w:tc>
      </w:tr>
      <w:tr>
        <w:tc>
          <w:tcPr>
            <w:tcW w:type="dxa" w:w="1234"/>
          </w:tcPr>
          <w:p>
            <w:r>
              <w:t>Guarantee</w:t>
            </w:r>
          </w:p>
        </w:tc>
        <w:tc>
          <w:tcPr>
            <w:tcW w:type="dxa" w:w="1234"/>
          </w:tcPr>
          <w:p>
            <w:r>
              <w:t>Repair/replacement warranty obligations defined</w:t>
            </w:r>
          </w:p>
        </w:tc>
        <w:tc>
          <w:tcPr>
            <w:tcW w:type="dxa" w:w="1234"/>
          </w:tcPr>
          <w:p>
            <w:r>
              <w:t>Provisions regarding 'Repair/replacement warranty obligations defined': Any repaired or replaced component shall be guaranteed for twelve (12) months from completion of repair or replacement, or until eighteen (18) months from original dispatch of the affected equipment, whichever occurs earlier.</w:t>
            </w:r>
          </w:p>
        </w:tc>
        <w:tc>
          <w:tcPr>
            <w:tcW w:type="dxa" w:w="1234"/>
          </w:tcPr>
          <w:p>
            <w:r>
              <w:t>Partially Met</w:t>
            </w:r>
          </w:p>
        </w:tc>
        <w:tc>
          <w:tcPr>
            <w:tcW w:type="dxa" w:w="1234"/>
          </w:tcPr>
          <w:p>
            <w:r>
              <w:t>Any repaired or replaced component shall be guaranteed for twelve (12) months from completion of</w:t>
              <w:br/>
              <w:t>repair or replacement, or until eighteen (18) months from original dispatch of the affected equipment, whichever occurs earlier.</w:t>
            </w:r>
          </w:p>
        </w:tc>
        <w:tc>
          <w:tcPr>
            <w:tcW w:type="dxa" w:w="1234"/>
          </w:tcPr>
          <w:p>
            <w:r>
              <w:t>Clause contains material limitations, exceptions, carve-outs, conditions, or restricted applicability</w:t>
            </w:r>
          </w:p>
        </w:tc>
        <w:tc>
          <w:tcPr>
            <w:tcW w:type="dxa" w:w="1234"/>
          </w:tcPr>
          <w:p>
            <w:r>
              <w:t>Warranty coverage limits for repaired or replaced components were refined during final engineering alignment meetings and finalized by legal counsel.</w:t>
              <w:br/>
              <w:br/>
              <w:t>Historical Reference</w:t>
              <w:br/>
              <w:t>Source:</w:t>
              <w:br/>
              <w:t>d1.docx</w:t>
              <w:br/>
              <w:t>Clause: Guarantee</w:t>
              <w:br/>
              <w:t>Requirement: Repair/replacement warranty obligations defined</w:t>
              <w:br/>
              <w:br/>
              <w:t>Quote:</w:t>
              <w:br/>
              <w:t>"Revised warranty coverage limits during final engineering alignment meetings; closed by legal."</w:t>
            </w:r>
          </w:p>
        </w:tc>
      </w:tr>
      <w:tr>
        <w:tc>
          <w:tcPr>
            <w:tcW w:type="dxa" w:w="1234"/>
          </w:tcPr>
          <w:p>
            <w:r>
              <w:t>Force Majeure</w:t>
            </w:r>
          </w:p>
        </w:tc>
        <w:tc>
          <w:tcPr>
            <w:tcW w:type="dxa" w:w="1234"/>
          </w:tcPr>
          <w:p>
            <w:r>
              <w:t>Force majeure events defined</w:t>
            </w:r>
          </w:p>
        </w:tc>
        <w:tc>
          <w:tcPr>
            <w:tcW w:type="dxa" w:w="1234"/>
          </w:tcPr>
          <w:p>
            <w:r>
              <w:t>Provisions regarding 'Force majeure events defined': Supplier may claim Force Majeure relief for events affecting only the Tier-1 critical sub-suppliers named in Annex D or the approved international logistics carrier.</w:t>
            </w:r>
          </w:p>
        </w:tc>
        <w:tc>
          <w:tcPr>
            <w:tcW w:type="dxa" w:w="1234"/>
          </w:tcPr>
          <w:p>
            <w:r>
              <w:t>Partially Met</w:t>
            </w:r>
          </w:p>
        </w:tc>
        <w:tc>
          <w:tcPr>
            <w:tcW w:type="dxa" w:w="1234"/>
          </w:tcPr>
          <w:p>
            <w:r>
              <w:t>Supplier may claim Force Majeure relief for events affecting only the Tier-1 critical sub-suppliers named</w:t>
              <w:br/>
              <w:t>in Annex D or the approved international logistics carrier.</w:t>
            </w:r>
          </w:p>
        </w:tc>
        <w:tc>
          <w:tcPr>
            <w:tcW w:type="dxa" w:w="1234"/>
          </w:tcPr>
          <w:p>
            <w:r>
              <w:t>Clause contains material limitations, exceptions, carve-outs, conditions, or restricted applicability</w:t>
            </w:r>
          </w:p>
        </w:tc>
        <w:tc>
          <w:tcPr>
            <w:tcW w:type="dxa" w:w="1234"/>
          </w:tcPr>
          <w:p>
            <w:r>
              <w:t>Historically, definitions were expanded to include regional power grid collapses and standardized across all baseline drafts to ensure neutral, unambiguous boundaries.</w:t>
              <w:br/>
              <w:br/>
              <w:t>Historical Reference</w:t>
              <w:br/>
              <w:t>Sources:</w:t>
              <w:br/>
              <w:t>• d1.docx – Force Majeure</w:t>
              <w:br/>
              <w:t>• d2.docx – Force Majeure</w:t>
            </w:r>
          </w:p>
        </w:tc>
      </w:tr>
      <w:tr>
        <w:tc>
          <w:tcPr>
            <w:tcW w:type="dxa" w:w="1234"/>
          </w:tcPr>
          <w:p>
            <w:r>
              <w:t>Force Majeure</w:t>
            </w:r>
          </w:p>
        </w:tc>
        <w:tc>
          <w:tcPr>
            <w:tcW w:type="dxa" w:w="1234"/>
          </w:tcPr>
          <w:p>
            <w:r>
              <w:t>Applies to subcontractors</w:t>
            </w:r>
          </w:p>
        </w:tc>
        <w:tc>
          <w:tcPr>
            <w:tcW w:type="dxa" w:w="1234"/>
          </w:tcPr>
          <w:p>
            <w:r>
              <w:t>Provisions regarding 'Applies to subcontractors': Force majeure applies only to named Tier-1 / approved suppliers.</w:t>
            </w:r>
          </w:p>
        </w:tc>
        <w:tc>
          <w:tcPr>
            <w:tcW w:type="dxa" w:w="1234"/>
          </w:tcPr>
          <w:p>
            <w:r>
              <w:t>Partially Met</w:t>
            </w:r>
          </w:p>
        </w:tc>
        <w:tc>
          <w:tcPr>
            <w:tcW w:type="dxa" w:w="1234"/>
          </w:tcPr>
          <w:p>
            <w:r>
              <w:t>Force majeure applies only to named Tier-1 / approved suppliers</w:t>
            </w:r>
          </w:p>
        </w:tc>
        <w:tc>
          <w:tcPr>
            <w:tcW w:type="dxa" w:w="1234"/>
          </w:tcPr>
          <w:p>
            <w:r>
              <w:t>Applies only to specific suppliers</w:t>
            </w:r>
          </w:p>
        </w:tc>
        <w:tc>
          <w:tcPr>
            <w:tcW w:type="dxa" w:w="1234"/>
          </w:tcPr>
          <w:p>
            <w:r>
              <w:t>Previous revisions involved adjusting wording to explicitly extend relief to all approved subcontractors and component suppliers throughout the execution chain.</w:t>
              <w:br/>
              <w:br/>
              <w:t>Historical Reference</w:t>
              <w:br/>
              <w:t>Source:</w:t>
              <w:br/>
              <w:t>d1.docx</w:t>
              <w:br/>
              <w:t>Clause: Force Majeure</w:t>
              <w:br/>
              <w:t>Requirement: Applies to subcontractors</w:t>
              <w:br/>
              <w:br/>
              <w:t>Quote:</w:t>
              <w:br/>
              <w:t>"Wording adjusted after subcontractor compliance review; closed after formal execution of Amendment 2."</w:t>
            </w:r>
          </w:p>
        </w:tc>
      </w:tr>
      <w:tr>
        <w:tc>
          <w:tcPr>
            <w:tcW w:type="dxa" w:w="1234"/>
          </w:tcPr>
          <w:p>
            <w:r>
              <w:t>Force Majeure</w:t>
            </w:r>
          </w:p>
        </w:tc>
        <w:tc>
          <w:tcPr>
            <w:tcW w:type="dxa" w:w="1234"/>
          </w:tcPr>
          <w:p>
            <w:r>
              <w:t>Notice obligations defined</w:t>
            </w:r>
          </w:p>
        </w:tc>
        <w:tc>
          <w:tcPr>
            <w:tcW w:type="dxa" w:w="1234"/>
          </w:tcPr>
          <w:p>
            <w:r>
              <w:t>Provisions regarding 'Notice obligations defined': Supplier may claim Force Majeure relief for events affecting only the Tier-1 critical sub-suppliers named in Annex D or the approved international logistics carrier.</w:t>
            </w:r>
          </w:p>
        </w:tc>
        <w:tc>
          <w:tcPr>
            <w:tcW w:type="dxa" w:w="1234"/>
          </w:tcPr>
          <w:p>
            <w:r>
              <w:t>Partially Met</w:t>
            </w:r>
          </w:p>
        </w:tc>
        <w:tc>
          <w:tcPr>
            <w:tcW w:type="dxa" w:w="1234"/>
          </w:tcPr>
          <w:p>
            <w:r>
              <w:t>Supplier may claim Force Majeure relief for events affecting only the Tier-1 critical sub-suppliers named</w:t>
              <w:br/>
              <w:t>in Annex D or the approved international logistics carrier.</w:t>
            </w:r>
          </w:p>
        </w:tc>
        <w:tc>
          <w:tcPr>
            <w:tcW w:type="dxa" w:w="1234"/>
          </w:tcPr>
          <w:p>
            <w:r>
              <w:t>Clause contains material limitations, exceptions, carve-outs, conditions, or restricted applicability</w:t>
            </w:r>
          </w:p>
        </w:tc>
        <w:tc>
          <w:tcPr>
            <w:tcW w:type="dxa" w:w="1234"/>
          </w:tcPr>
          <w:p>
            <w:r>
              <w:t>Negotiations focused on replacing unrealistic 24-hour notification windows with more achievable 72-hour or 5-business-day reporting timelines.</w:t>
              <w:br/>
              <w:br/>
              <w:t>Historical Reference</w:t>
              <w:br/>
              <w:t>Sources:</w:t>
              <w:br/>
              <w:t>• d1.docx – Force Majeure</w:t>
              <w:br/>
              <w:t>• d2.docx – Force Majeure</w:t>
            </w:r>
          </w:p>
        </w:tc>
      </w:tr>
      <w:tr>
        <w:tc>
          <w:tcPr>
            <w:tcW w:type="dxa" w:w="1234"/>
          </w:tcPr>
          <w:p>
            <w:r>
              <w:t>Termination</w:t>
            </w:r>
          </w:p>
        </w:tc>
        <w:tc>
          <w:tcPr>
            <w:tcW w:type="dxa" w:w="1234"/>
          </w:tcPr>
          <w:p>
            <w:r>
              <w:t>Termination rights defined</w:t>
            </w:r>
          </w:p>
        </w:tc>
        <w:tc>
          <w:tcPr>
            <w:tcW w:type="dxa" w:w="1234"/>
          </w:tcPr>
          <w:p>
            <w:r>
              <w:t>Provisions regarding 'Termination rights defined': If Buyer cancels the Purchase Order for convenience after Supplier acknowledgement, Buyer shall pay the following fee as a percentage of the order value, subject to the notes below: 0-30 days: 7. 5%; 31-60 days: 25%; 61-90 days: 38%; 91-120 days: 55%; 121-150 days: 70% less documented resale or scrap salvage actually realized by Supplier; 151-180 days: 85%; and 181 or more days: 100% of the undelivered balance only.</w:t>
            </w:r>
          </w:p>
        </w:tc>
        <w:tc>
          <w:tcPr>
            <w:tcW w:type="dxa" w:w="1234"/>
          </w:tcPr>
          <w:p>
            <w:r>
              <w:t>Met</w:t>
            </w:r>
          </w:p>
        </w:tc>
        <w:tc>
          <w:tcPr>
            <w:tcW w:type="dxa" w:w="1234"/>
          </w:tcPr>
          <w:p>
            <w:r>
              <w:t>If Buyer cancels the Purchase Order for convenience after Supplier acknowledgement,</w:t>
              <w:br/>
              <w:t>Buyer shall pay the following fee as a percentage of the order value, subject to the notes below: 0-30 days: 7.5%; 31-60 days: 25%;</w:t>
              <w:br/>
              <w:t>61-90 days: 38%; 91-120 days: 55%; 121-150 days: 70% less documented resale or scrap salvage actually realized by Supplier;</w:t>
              <w:br/>
              <w:t>151-180 days: 85%; and 181 or more days: 100% of the undelivered balance only.</w:t>
            </w:r>
          </w:p>
        </w:tc>
        <w:tc>
          <w:tcPr>
            <w:tcW w:type="dxa" w:w="1234"/>
          </w:tcPr>
          <w:p>
            <w:r>
              <w:t>If Buyer cancels the Purchase Order for convenience after Supplier acknowledgement,</w:t>
              <w:br/>
              <w:t>Buyer shall pay the following fee as a percentage of the order value, subject to the notes below: 0-30 days: 7.5%; 31-60 days: 25%;</w:t>
              <w:br/>
              <w:t>61-90 days: 38%; 91-120 days: 55%; 121-150 days: 70% less documented resale or scrap salvage actually realized by Supplier;</w:t>
              <w:br/>
              <w:t>151-180 days: 85%; and 181 or more days: 100% of the undelivered balance only.</w:t>
            </w:r>
          </w:p>
        </w:tc>
        <w:tc>
          <w:tcPr>
            <w:tcW w:type="dxa" w:w="1234"/>
          </w:tcPr>
          <w:p>
            <w:r>
              <w:t>Efforts were made to balance termination rights by addressing reciprocal pathways for supplier-initiated termination and standardizing rules across procurement frameworks.</w:t>
              <w:br/>
              <w:br/>
              <w:t>Historical Reference</w:t>
              <w:br/>
              <w:t>Sources:</w:t>
              <w:br/>
              <w:t>• d1.docx – Termination</w:t>
              <w:br/>
              <w:t>• d2.docx – Termination</w:t>
            </w:r>
          </w:p>
        </w:tc>
      </w:tr>
      <w:tr>
        <w:tc>
          <w:tcPr>
            <w:tcW w:type="dxa" w:w="1234"/>
          </w:tcPr>
          <w:p>
            <w:r>
              <w:t>Termination</w:t>
            </w:r>
          </w:p>
        </w:tc>
        <w:tc>
          <w:tcPr>
            <w:tcW w:type="dxa" w:w="1234"/>
          </w:tcPr>
          <w:p>
            <w:r>
              <w:t>Cancellation fee structure defined</w:t>
            </w:r>
          </w:p>
        </w:tc>
        <w:tc>
          <w:tcPr>
            <w:tcW w:type="dxa" w:w="1234"/>
          </w:tcPr>
          <w:p>
            <w:r>
              <w:t>Provisions regarding 'Cancellation fee structure defined': If Buyer cancels the Purchase Order for convenience after Supplier acknowledgement, Buyer shall pay the following fee as a percentage of the order value, subject to the notes below: 0-30 days: 7. 5%; 31-60 days: 25%; 61-90 days: 38%; 91-120 days: 55%; 121-150 days: 70% less documented resale or scrap salvage actually realized by Supplier; 151-180 days: 85%; and 181 or more days: 100% of the undelivered balance only.</w:t>
            </w:r>
          </w:p>
        </w:tc>
        <w:tc>
          <w:tcPr>
            <w:tcW w:type="dxa" w:w="1234"/>
          </w:tcPr>
          <w:p>
            <w:r>
              <w:t>Met</w:t>
            </w:r>
          </w:p>
        </w:tc>
        <w:tc>
          <w:tcPr>
            <w:tcW w:type="dxa" w:w="1234"/>
          </w:tcPr>
          <w:p>
            <w:r>
              <w:t>If Buyer cancels the Purchase Order for convenience after Supplier acknowledgement,</w:t>
              <w:br/>
              <w:t>Buyer shall pay the following fee as a percentage of the order value, subject to the notes below: 0-30 days: 7.5%; 31-60 days: 25%;</w:t>
              <w:br/>
              <w:t>61-90 days: 38%; 91-120 days: 55%; 121-150 days: 70% less documented resale or scrap salvage actually realized by Supplier;</w:t>
              <w:br/>
              <w:t>151-180 days: 85%; and 181 or more days: 100% of the undelivered balance only.</w:t>
            </w:r>
          </w:p>
        </w:tc>
        <w:tc>
          <w:tcPr>
            <w:tcW w:type="dxa" w:w="1234"/>
          </w:tcPr>
          <w:p>
            <w:r>
              <w:t>If Buyer cancels the Purchase Order for convenience after Supplier acknowledgement,</w:t>
              <w:br/>
              <w:t>Buyer shall pay the following fee as a percentage of the order value, subject to the notes below: 0-30 days: 7.5%; 31-60 days: 25%;</w:t>
              <w:br/>
              <w:t>61-90 days: 38%; 91-120 days: 55%; 121-150 days: 70% less documented resale or scrap salvage actually realized by Supplier;</w:t>
              <w:br/>
              <w:t>151-180 days: 85%; and 181 or more days: 100% of the undelivered balance only.</w:t>
            </w:r>
          </w:p>
        </w:tc>
        <w:tc>
          <w:tcPr>
            <w:tcW w:type="dxa" w:w="1234"/>
          </w:tcPr>
          <w:p>
            <w:r>
              <w:t>The cancellation fee framework was revised during commercial sessions to move away from rigid flat-rate lump sums and address failures in material protection for work-in-progress.</w:t>
              <w:br/>
              <w:br/>
              <w:t>Historical Reference</w:t>
              <w:br/>
              <w:t>Sources:</w:t>
              <w:br/>
              <w:t>• d1.docx – Termination</w:t>
              <w:br/>
              <w:t>• d2.docx – Termination</w:t>
            </w:r>
          </w:p>
        </w:tc>
      </w:tr>
      <w:tr>
        <w:tc>
          <w:tcPr>
            <w:tcW w:type="dxa" w:w="1234"/>
          </w:tcPr>
          <w:p>
            <w:r>
              <w:t>Termination</w:t>
            </w:r>
          </w:p>
        </w:tc>
        <w:tc>
          <w:tcPr>
            <w:tcW w:type="dxa" w:w="1234"/>
          </w:tcPr>
          <w:p>
            <w:r>
              <w:t>61-90 day cancellation fee 40%</w:t>
            </w:r>
          </w:p>
        </w:tc>
        <w:tc>
          <w:tcPr>
            <w:tcW w:type="dxa" w:w="1234"/>
          </w:tcPr>
          <w:p>
            <w:r>
              <w:t>Provisions regarding '61-90 day cancellation fee 40%': Article 00511. 9 - Cancellation and Early Termination Fee.</w:t>
            </w:r>
          </w:p>
        </w:tc>
        <w:tc>
          <w:tcPr>
            <w:tcW w:type="dxa" w:w="1234"/>
          </w:tcPr>
          <w:p>
            <w:r>
              <w:t>Not Met</w:t>
            </w:r>
          </w:p>
        </w:tc>
        <w:tc>
          <w:tcPr>
            <w:tcW w:type="dxa" w:w="1234"/>
          </w:tcPr>
          <w:p>
            <w:r>
              <w:t>Article 00511.9 - Cancellation and Early Termination Fee</w:t>
            </w:r>
          </w:p>
        </w:tc>
        <w:tc>
          <w:tcPr>
            <w:tcW w:type="dxa" w:w="1234"/>
          </w:tcPr>
          <w:p>
            <w:r>
              <w:t>Required 40.0% not found</w:t>
            </w:r>
          </w:p>
        </w:tc>
        <w:tc>
          <w:tcPr>
            <w:tcW w:type="dxa" w:w="1234"/>
          </w:tcPr>
          <w:p>
            <w:r>
              <w:t>Baseline percentages for the 61-90 day window were re-aligned and corrected during pre-signature reviews to ensure compliance with corporate recovery guidelines.</w:t>
              <w:br/>
              <w:br/>
              <w:t>Historical Reference</w:t>
              <w:br/>
              <w:t>Source:</w:t>
              <w:br/>
              <w:t>d1.docx</w:t>
              <w:br/>
              <w:t>Clause: Termination</w:t>
              <w:br/>
              <w:t>Requirement: 61-90 day cancellation fee 40%</w:t>
              <w:br/>
              <w:br/>
              <w:t>Quote:</w:t>
              <w:br/>
              <w:t>"Baseline percentages re-aligned and corrected during pre-signature document formatting review."</w:t>
            </w:r>
          </w:p>
        </w:tc>
      </w:tr>
      <w:tr>
        <w:tc>
          <w:tcPr>
            <w:tcW w:type="dxa" w:w="1234"/>
          </w:tcPr>
          <w:p>
            <w:r>
              <w:t>Suspension</w:t>
            </w:r>
          </w:p>
        </w:tc>
        <w:tc>
          <w:tcPr>
            <w:tcW w:type="dxa" w:w="1234"/>
          </w:tcPr>
          <w:p>
            <w:r>
              <w:t>Maximum 2 suspensions and 30 days aggregate</w:t>
            </w:r>
          </w:p>
        </w:tc>
        <w:tc>
          <w:tcPr>
            <w:tcW w:type="dxa" w:w="1234"/>
          </w:tcPr>
          <w:p>
            <w:r>
              <w:t>Provisions regarding 'Maximum 2 suspensions and 30 days aggregate': Suspension limits exclude regulatory, government, legal, and safety stoppages.</w:t>
            </w:r>
          </w:p>
        </w:tc>
        <w:tc>
          <w:tcPr>
            <w:tcW w:type="dxa" w:w="1234"/>
          </w:tcPr>
          <w:p>
            <w:r>
              <w:t>Partially Met</w:t>
            </w:r>
          </w:p>
        </w:tc>
        <w:tc>
          <w:tcPr>
            <w:tcW w:type="dxa" w:w="1234"/>
          </w:tcPr>
          <w:p>
            <w:r>
              <w:t>Suspension limits exclude regulatory, government, legal, and safety stoppages</w:t>
            </w:r>
          </w:p>
        </w:tc>
        <w:tc>
          <w:tcPr>
            <w:tcW w:type="dxa" w:w="1234"/>
          </w:tcPr>
          <w:p>
            <w:r>
              <w:t>Certain suspension categories excluded from limit</w:t>
            </w:r>
          </w:p>
        </w:tc>
        <w:tc>
          <w:tcPr>
            <w:tcW w:type="dxa" w:w="1234"/>
          </w:tcPr>
          <w:p>
            <w:r>
              <w:t>Implemented a formal suspension approval workflow and established hard duration limits following a review of previous contract disputes.</w:t>
              <w:br/>
              <w:br/>
              <w:t>Historical Reference</w:t>
              <w:br/>
              <w:t>Source:</w:t>
              <w:br/>
              <w:t>d1.docx</w:t>
              <w:br/>
              <w:t>Clause: Suspension</w:t>
              <w:br/>
              <w:t>Requirement: Maximum 2 suspensions and 30 days aggregate</w:t>
              <w:br/>
              <w:br/>
              <w:t>Quote:</w:t>
              <w:br/>
              <w:t>"Added suspension approval workflow and hard duration limits after prior contract dispute review."</w:t>
            </w:r>
          </w:p>
        </w:tc>
      </w:tr>
      <w:tr>
        <w:tc>
          <w:tcPr>
            <w:tcW w:type="dxa" w:w="1234"/>
          </w:tcPr>
          <w:p>
            <w:r>
              <w:t>Suspension</w:t>
            </w:r>
          </w:p>
        </w:tc>
        <w:tc>
          <w:tcPr>
            <w:tcW w:type="dxa" w:w="1234"/>
          </w:tcPr>
          <w:p>
            <w:r>
              <w:t>Supplier obligations during suspension defined</w:t>
            </w:r>
          </w:p>
        </w:tc>
        <w:tc>
          <w:tcPr>
            <w:tcW w:type="dxa" w:w="1234"/>
          </w:tcPr>
          <w:p>
            <w:r>
              <w:t>Provisions regarding 'Supplier obligations during suspension defined': Buyer may suspend work for commercial convenience no more than two (2) times during the Purchase Order term, and the aggregate duration of such commercial-convenience suspensions shall not exceed thirty (30) calendar days unless Supplier agrees in writing.</w:t>
            </w:r>
          </w:p>
        </w:tc>
        <w:tc>
          <w:tcPr>
            <w:tcW w:type="dxa" w:w="1234"/>
          </w:tcPr>
          <w:p>
            <w:r>
              <w:t>Met</w:t>
            </w:r>
          </w:p>
        </w:tc>
        <w:tc>
          <w:tcPr>
            <w:tcW w:type="dxa" w:w="1234"/>
          </w:tcPr>
          <w:p>
            <w:r>
              <w:t>Buyer may suspend work for commercial convenience no more than two (2) times during the Purchase</w:t>
              <w:br/>
              <w:t>Order term, and the aggregate duration of such commercial-convenience suspensions shall not exceed thirty (30) calendar days unless</w:t>
              <w:br/>
              <w:t>Supplier agrees in writing.</w:t>
            </w:r>
          </w:p>
        </w:tc>
        <w:tc>
          <w:tcPr>
            <w:tcW w:type="dxa" w:w="1234"/>
          </w:tcPr>
          <w:p>
            <w:r>
              <w:t>Buyer may suspend work for commercial convenience no more than two (2) times during the Purchase</w:t>
              <w:br/>
              <w:t>Order term, and the aggregate duration of such commercial-convenience suspensions shall not exceed thirty (30) calendar days unless</w:t>
              <w:br/>
              <w:t>Supplier agrees in writing.</w:t>
            </w:r>
          </w:p>
        </w:tc>
        <w:tc>
          <w:tcPr>
            <w:tcW w:type="dxa" w:w="1234"/>
          </w:tcPr>
          <w:p>
            <w:r>
              <w:t>Standardized preservation protocol requirements into the core text and escalated unresolved maintenance cost allocations to the procurement board.</w:t>
              <w:br/>
              <w:br/>
              <w:t>Historical Reference</w:t>
              <w:br/>
              <w:t>Sources:</w:t>
              <w:br/>
              <w:t>• d1.docx – Suspension</w:t>
              <w:br/>
              <w:t>• d2.docx – Suspension</w:t>
            </w:r>
          </w:p>
        </w:tc>
      </w:tr>
      <w:tr>
        <w:tc>
          <w:tcPr>
            <w:tcW w:type="dxa" w:w="1234"/>
          </w:tcPr>
          <w:p>
            <w:r>
              <w:t>Change Orders</w:t>
            </w:r>
          </w:p>
        </w:tc>
        <w:tc>
          <w:tcPr>
            <w:tcW w:type="dxa" w:w="1234"/>
          </w:tcPr>
          <w:p>
            <w:r>
              <w:t>Formal amendment process defined</w:t>
            </w:r>
          </w:p>
        </w:tc>
        <w:tc>
          <w:tcPr>
            <w:tcW w:type="dxa" w:w="1234"/>
          </w:tcPr>
          <w:p>
            <w:r>
              <w:t>Provisions regarding 'Formal amendment process defined': In case of inconsistency, the following order applies: (a) signed Purchase Order amendment; (b) Special Conditions in Articles 00511. 16; (c) Annex B - Commercial Schedule; (d) Annex C - Logistics Protocol; (e) the General Procurement Conditions; and (f) email clarifications not incorporated by amendment.</w:t>
            </w:r>
          </w:p>
        </w:tc>
        <w:tc>
          <w:tcPr>
            <w:tcW w:type="dxa" w:w="1234"/>
          </w:tcPr>
          <w:p>
            <w:r>
              <w:t>Met</w:t>
            </w:r>
          </w:p>
        </w:tc>
        <w:tc>
          <w:tcPr>
            <w:tcW w:type="dxa" w:w="1234"/>
          </w:tcPr>
          <w:p>
            <w:r>
              <w:t>In case of inconsistency, the following order applies: (a) signed Purchase Order amendment; (b)</w:t>
              <w:br/>
              <w:t>Special Conditions in Articles 00511.2 to 00511.16; (c) Annex B - Commercial Schedule; (d) Annex C - Logistics Protocol; (e) the</w:t>
              <w:br/>
              <w:t>General Procurement Conditions; and (f) email clarifications not incorporated by amendment.</w:t>
            </w:r>
          </w:p>
        </w:tc>
        <w:tc>
          <w:tcPr>
            <w:tcW w:type="dxa" w:w="1234"/>
          </w:tcPr>
          <w:p>
            <w:r>
              <w:t>In case of inconsistency, the following order applies: (a) signed Purchase Order amendment; (b)</w:t>
              <w:br/>
              <w:t>Special Conditions in Articles 00511.2 to 00511.16; (c) Annex B - Commercial Schedule; (d) Annex C - Logistics Protocol; (e) the</w:t>
              <w:br/>
              <w:t>General Procurement Conditions; and (f) email clarifications not incorporated by amendment.</w:t>
            </w:r>
          </w:p>
        </w:tc>
        <w:tc>
          <w:tcPr>
            <w:tcW w:type="dxa" w:w="1234"/>
          </w:tcPr>
          <w:p>
            <w:r>
              <w:t>Historically, the process evolved from a basic signed request protocol to a comprehensive framework incorporating a strict document precedence matrix to resolve conflicting instructions.</w:t>
              <w:br/>
              <w:br/>
              <w:t>Historical Reference</w:t>
              <w:br/>
              <w:t>Sources:</w:t>
              <w:br/>
              <w:t>• d1.docx – Change Orders</w:t>
              <w:br/>
              <w:t>• d2.docx – Change Orders</w:t>
            </w:r>
          </w:p>
        </w:tc>
      </w:tr>
      <w:tr>
        <w:tc>
          <w:tcPr>
            <w:tcW w:type="dxa" w:w="1234"/>
          </w:tcPr>
          <w:p>
            <w:r>
              <w:t>Change Orders</w:t>
            </w:r>
          </w:p>
        </w:tc>
        <w:tc>
          <w:tcPr>
            <w:tcW w:type="dxa" w:w="1234"/>
          </w:tcPr>
          <w:p>
            <w:r>
              <w:t>Timeline for approval defined</w:t>
            </w:r>
          </w:p>
        </w:tc>
        <w:tc>
          <w:tcPr>
            <w:tcW w:type="dxa" w:w="1234"/>
          </w:tcPr>
          <w:p>
            <w:r>
              <w:t>Provisions regarding 'Timeline for approval defined': In case of inconsistency, the following order applies: (a) signed Purchase Order amendment; (b) Special Conditions in Articles 00511. 16; (c) Annex B - Commercial Schedule; (d) Annex C - Logistics Protocol; (e) the General Procurement Conditions; and (f) email clarifications not incorporated by amendment.</w:t>
            </w:r>
          </w:p>
        </w:tc>
        <w:tc>
          <w:tcPr>
            <w:tcW w:type="dxa" w:w="1234"/>
          </w:tcPr>
          <w:p>
            <w:r>
              <w:t>Met</w:t>
            </w:r>
          </w:p>
        </w:tc>
        <w:tc>
          <w:tcPr>
            <w:tcW w:type="dxa" w:w="1234"/>
          </w:tcPr>
          <w:p>
            <w:r>
              <w:t>In case of inconsistency, the following order applies: (a) signed Purchase Order amendment; (b)</w:t>
              <w:br/>
              <w:t>Special Conditions in Articles 00511.2 to 00511.16; (c) Annex B - Commercial Schedule; (d) Annex C - Logistics Protocol; (e) the</w:t>
              <w:br/>
              <w:t>General Procurement Conditions; and (f) email clarifications not incorporated by amendment.</w:t>
            </w:r>
          </w:p>
        </w:tc>
        <w:tc>
          <w:tcPr>
            <w:tcW w:type="dxa" w:w="1234"/>
          </w:tcPr>
          <w:p>
            <w:r>
              <w:t>In case of inconsistency, the following order applies: (a) signed Purchase Order amendment; (b)</w:t>
              <w:br/>
              <w:t>Special Conditions in Articles 00511.2 to 00511.16; (c) Annex B - Commercial Schedule; (d) Annex C - Logistics Protocol; (e) the</w:t>
              <w:br/>
              <w:t>General Procurement Conditions; and (f) email clarifications not incorporated by amendment.</w:t>
            </w:r>
          </w:p>
        </w:tc>
        <w:tc>
          <w:tcPr>
            <w:tcW w:type="dxa" w:w="1234"/>
          </w:tcPr>
          <w:p>
            <w:r>
              <w:t>Past efforts focused on replacing vague 'reasonable timeframe' language with specific day-counts for evaluations, while flagging unilateral directives for elimination to protect commercial cost tracking.</w:t>
              <w:br/>
              <w:br/>
              <w:t>Historical Reference</w:t>
              <w:br/>
              <w:t>Sources:</w:t>
              <w:br/>
              <w:t>• d1.docx – Change Orders</w:t>
              <w:br/>
              <w:t>• d2.docx – Change Orders</w:t>
            </w:r>
          </w:p>
        </w:tc>
      </w:tr>
      <w:tr>
        <w:tc>
          <w:tcPr>
            <w:tcW w:type="dxa" w:w="1234"/>
          </w:tcPr>
          <w:p>
            <w:r>
              <w:t>Governing Law</w:t>
            </w:r>
          </w:p>
        </w:tc>
        <w:tc>
          <w:tcPr>
            <w:tcW w:type="dxa" w:w="1234"/>
          </w:tcPr>
          <w:p>
            <w:r>
              <w:t>Applicable law specified</w:t>
            </w:r>
          </w:p>
        </w:tc>
        <w:tc>
          <w:tcPr>
            <w:tcW w:type="dxa" w:w="1234"/>
          </w:tcPr>
          <w:p>
            <w:r>
              <w:t>Provisions regarding 'Applicable law specified': This Purchase Order and all non-contractual obligations arising out of or in connection with it shall be governed by the laws of India, excluding conflict-of-law principles.</w:t>
            </w:r>
          </w:p>
        </w:tc>
        <w:tc>
          <w:tcPr>
            <w:tcW w:type="dxa" w:w="1234"/>
          </w:tcPr>
          <w:p>
            <w:r>
              <w:t>Partially Met</w:t>
            </w:r>
          </w:p>
        </w:tc>
        <w:tc>
          <w:tcPr>
            <w:tcW w:type="dxa" w:w="1234"/>
          </w:tcPr>
          <w:p>
            <w:r>
              <w:t>This Purchase Order and all non-contractual obligations arising out of or in connection with it shall be</w:t>
              <w:br/>
              <w:t>governed by the laws of India, excluding conflict-of-law principles.</w:t>
            </w:r>
          </w:p>
        </w:tc>
        <w:tc>
          <w:tcPr>
            <w:tcW w:type="dxa" w:w="1234"/>
          </w:tcPr>
          <w:p>
            <w:r>
              <w:t>Clause contains material limitations, exceptions, carve-outs, conditions, or restricted applicability</w:t>
            </w:r>
          </w:p>
        </w:tc>
        <w:tc>
          <w:tcPr>
            <w:tcW w:type="dxa" w:w="1234"/>
          </w:tcPr>
          <w:p>
            <w:r>
              <w:t>Historically, governing law frameworks were standardized across global procurement files to ensure a single, recognized legal jurisdiction.</w:t>
              <w:br/>
              <w:br/>
              <w:t>Historical Reference</w:t>
              <w:br/>
              <w:t>Source:</w:t>
              <w:br/>
              <w:t>d1.docx</w:t>
              <w:br/>
              <w:t>Clause: Governing Law</w:t>
              <w:br/>
              <w:t>Requirement: Applicable law specified</w:t>
              <w:br/>
              <w:br/>
              <w:t>Quote:</w:t>
              <w:br/>
              <w:t>"Standardized governing law framework applied across all active global procurement files."</w:t>
            </w:r>
          </w:p>
        </w:tc>
      </w:tr>
      <w:tr>
        <w:tc>
          <w:tcPr>
            <w:tcW w:type="dxa" w:w="1234"/>
          </w:tcPr>
          <w:p>
            <w:r>
              <w:t>Dispute Resolution</w:t>
            </w:r>
          </w:p>
        </w:tc>
        <w:tc>
          <w:tcPr>
            <w:tcW w:type="dxa" w:w="1234"/>
          </w:tcPr>
          <w:p>
            <w:r>
              <w:t>Arbitration mechanism defined</w:t>
            </w:r>
          </w:p>
        </w:tc>
        <w:tc>
          <w:tcPr>
            <w:tcW w:type="dxa" w:w="1234"/>
          </w:tcPr>
          <w:p>
            <w:r>
              <w:t>Provisions regarding 'Arbitration mechanism defined': Disputes limited to laboratory test methodology shall first be referred to a technical expert in Mumbai; if the expert's determination is rejected, only the remaining legal dispute proceeds to Singapore arbitration.</w:t>
            </w:r>
          </w:p>
        </w:tc>
        <w:tc>
          <w:tcPr>
            <w:tcW w:type="dxa" w:w="1234"/>
          </w:tcPr>
          <w:p>
            <w:r>
              <w:t>Met</w:t>
            </w:r>
          </w:p>
        </w:tc>
        <w:tc>
          <w:tcPr>
            <w:tcW w:type="dxa" w:w="1234"/>
          </w:tcPr>
          <w:p>
            <w:r>
              <w:t>Disputes limited to laboratory test methodology shall</w:t>
              <w:br/>
              <w:t>first be referred to a technical expert in Mumbai; if the expert's determination is rejected, only the remaining legal dispute proceeds to</w:t>
              <w:br/>
              <w:t>Singapore arbitration.</w:t>
            </w:r>
          </w:p>
        </w:tc>
        <w:tc>
          <w:tcPr>
            <w:tcW w:type="dxa" w:w="1234"/>
          </w:tcPr>
          <w:p>
            <w:r>
              <w:t>Disputes limited to laboratory test methodology shall</w:t>
              <w:br/>
              <w:t>first be referred to a technical expert in Mumbai; if the expert's determination is rejected, only the remaining legal dispute proceeds to</w:t>
              <w:br/>
              <w:t>Singapore arbitration.</w:t>
            </w:r>
          </w:p>
        </w:tc>
        <w:tc>
          <w:tcPr>
            <w:tcW w:type="dxa" w:w="1234"/>
          </w:tcPr>
          <w:p>
            <w:r>
              <w:t>Previously, the organization transitioned from omitting arbitration or using biased home-court mandates to implementing multi-tier frameworks and proposed legal review texts.</w:t>
              <w:br/>
              <w:br/>
              <w:t>Historical Reference</w:t>
              <w:br/>
              <w:t>Sources:</w:t>
              <w:br/>
              <w:t>• d1.docx – Dispute Resolution</w:t>
              <w:br/>
              <w:t>• d2.docx – Dispute Resolution</w:t>
            </w:r>
          </w:p>
        </w:tc>
      </w:tr>
      <w:tr>
        <w:tc>
          <w:tcPr>
            <w:tcW w:type="dxa" w:w="1234"/>
          </w:tcPr>
          <w:p>
            <w:r>
              <w:t>Dispute Resolution</w:t>
            </w:r>
          </w:p>
        </w:tc>
        <w:tc>
          <w:tcPr>
            <w:tcW w:type="dxa" w:w="1234"/>
          </w:tcPr>
          <w:p>
            <w:r>
              <w:t>Seat of arbitration specified</w:t>
            </w:r>
          </w:p>
        </w:tc>
        <w:tc>
          <w:tcPr>
            <w:tcW w:type="dxa" w:w="1234"/>
          </w:tcPr>
          <w:p>
            <w:r>
              <w:t>Provisions regarding 'Seat of arbitration specified': Disputes limited to laboratory test methodology shall first be referred to a technical expert in Mumbai; if the expert's determination is rejected, only the remaining legal dispute proceeds to Singapore arbitration.</w:t>
            </w:r>
          </w:p>
        </w:tc>
        <w:tc>
          <w:tcPr>
            <w:tcW w:type="dxa" w:w="1234"/>
          </w:tcPr>
          <w:p>
            <w:r>
              <w:t>Met</w:t>
            </w:r>
          </w:p>
        </w:tc>
        <w:tc>
          <w:tcPr>
            <w:tcW w:type="dxa" w:w="1234"/>
          </w:tcPr>
          <w:p>
            <w:r>
              <w:t>Disputes limited to laboratory test methodology shall</w:t>
              <w:br/>
              <w:t>first be referred to a technical expert in Mumbai; if the expert's determination is rejected, only the remaining legal dispute proceeds to</w:t>
              <w:br/>
              <w:t>Singapore arbitration.</w:t>
            </w:r>
          </w:p>
        </w:tc>
        <w:tc>
          <w:tcPr>
            <w:tcW w:type="dxa" w:w="1234"/>
          </w:tcPr>
          <w:p>
            <w:r>
              <w:t>Disputes limited to laboratory test methodology shall</w:t>
              <w:br/>
              <w:t>first be referred to a technical expert in Mumbai; if the expert's determination is rejected, only the remaining legal dispute proceeds to</w:t>
              <w:br/>
              <w:t>Singapore arbitration.</w:t>
            </w:r>
          </w:p>
        </w:tc>
        <w:tc>
          <w:tcPr>
            <w:tcW w:type="dxa" w:w="1234"/>
          </w:tcPr>
          <w:p>
            <w:r>
              <w:t>Historical efforts focused on resolving the absence of a designated legal seat by evaluating alternative international neutral locations through the legal committee.</w:t>
              <w:br/>
              <w:br/>
              <w:t>Historical Reference</w:t>
              <w:br/>
              <w:t>Sources:</w:t>
              <w:br/>
              <w:t>• d1.docx – Dispute Resolution</w:t>
              <w:br/>
              <w:t>• d2.docx – Dispute Resolution</w:t>
            </w:r>
          </w:p>
        </w:tc>
      </w:tr>
      <w:tr>
        <w:tc>
          <w:tcPr>
            <w:tcW w:type="dxa" w:w="1234"/>
          </w:tcPr>
          <w:p>
            <w:r>
              <w:t>Insurance</w:t>
            </w:r>
          </w:p>
        </w:tc>
        <w:tc>
          <w:tcPr>
            <w:tcW w:type="dxa" w:w="1234"/>
          </w:tcPr>
          <w:p>
            <w:r>
              <w:t>Insurance responsibilities defined</w:t>
            </w:r>
          </w:p>
        </w:tc>
        <w:tc>
          <w:tcPr>
            <w:tcW w:type="dxa" w:w="1234"/>
          </w:tcPr>
          <w:p>
            <w:r>
              <w:t>Provisions regarding 'Insurance responsibilities defined': Article 00511. 4 - Delivery, Readiness, and Storage.</w:t>
            </w:r>
          </w:p>
        </w:tc>
        <w:tc>
          <w:tcPr>
            <w:tcW w:type="dxa" w:w="1234"/>
          </w:tcPr>
          <w:p>
            <w:r>
              <w:t>Met</w:t>
            </w:r>
          </w:p>
        </w:tc>
        <w:tc>
          <w:tcPr>
            <w:tcW w:type="dxa" w:w="1234"/>
          </w:tcPr>
          <w:p>
            <w:r>
              <w:t>Article 00511.4 - Delivery, Readiness, and Storage</w:t>
            </w:r>
          </w:p>
        </w:tc>
        <w:tc>
          <w:tcPr>
            <w:tcW w:type="dxa" w:w="1234"/>
          </w:tcPr>
          <w:p>
            <w:r>
              <w:t>Article 00511.4 - Delivery, Readiness, and Storage</w:t>
            </w:r>
          </w:p>
        </w:tc>
        <w:tc>
          <w:tcPr>
            <w:tcW w:type="dxa" w:w="1234"/>
          </w:tcPr>
          <w:p>
            <w:r>
              <w:t>Historically, insurance parameters were expanded via supplementary agreements to cover specialized transit risks and validated against corporate risk management baselines.</w:t>
              <w:br/>
              <w:br/>
              <w:t>Historical Reference</w:t>
              <w:br/>
              <w:t>Sources:</w:t>
              <w:br/>
              <w:t>• d1.docx – Insurance</w:t>
              <w:br/>
              <w:t>• d2.docx – Insurance</w:t>
            </w:r>
          </w:p>
        </w:tc>
      </w:tr>
      <w:tr>
        <w:tc>
          <w:tcPr>
            <w:tcW w:type="dxa" w:w="1234"/>
          </w:tcPr>
          <w:p>
            <w:r>
              <w:t>Insurance</w:t>
            </w:r>
          </w:p>
        </w:tc>
        <w:tc>
          <w:tcPr>
            <w:tcW w:type="dxa" w:w="1234"/>
          </w:tcPr>
          <w:p>
            <w:r>
              <w:t>Equipment damage covered while at buyer premises</w:t>
            </w:r>
          </w:p>
        </w:tc>
        <w:tc>
          <w:tcPr>
            <w:tcW w:type="dxa" w:w="1234"/>
          </w:tcPr>
          <w:p>
            <w:r>
              <w:t>Provisions regarding 'Equipment damage covered while at buyer premises': Storage charges are without prejudice to Supplier's right to claim insurance or preservation costs caused by abnormal storage conditions.</w:t>
            </w:r>
          </w:p>
        </w:tc>
        <w:tc>
          <w:tcPr>
            <w:tcW w:type="dxa" w:w="1234"/>
          </w:tcPr>
          <w:p>
            <w:r>
              <w:t>Met</w:t>
            </w:r>
          </w:p>
        </w:tc>
        <w:tc>
          <w:tcPr>
            <w:tcW w:type="dxa" w:w="1234"/>
          </w:tcPr>
          <w:p>
            <w:r>
              <w:t>Storage charges are</w:t>
              <w:br/>
              <w:t>without prejudice to Supplier's right to claim insurance or preservation costs caused by abnormal storage conditions.</w:t>
            </w:r>
          </w:p>
        </w:tc>
        <w:tc>
          <w:tcPr>
            <w:tcW w:type="dxa" w:w="1234"/>
          </w:tcPr>
          <w:p>
            <w:r>
              <w:t>Storage charges are</w:t>
              <w:br/>
              <w:t>without prejudice to Supplier's right to claim insurance or preservation costs caused by abnormal storage conditions.</w:t>
            </w:r>
          </w:p>
        </w:tc>
        <w:tc>
          <w:tcPr>
            <w:tcW w:type="dxa" w:w="1234"/>
          </w:tcPr>
          <w:p>
            <w:r>
              <w:t>Previous gaps in equipment damage coverage at buyer premises were mitigated by securing secondary comprehensive corporate property rider policies to accept field damage risks.</w:t>
              <w:br/>
              <w:br/>
              <w:t>Historical Reference</w:t>
              <w:br/>
              <w:t>Source:</w:t>
              <w:br/>
              <w:t>d1.docx</w:t>
              <w:br/>
              <w:t>Clause: Insurance</w:t>
              <w:br/>
              <w:t>Requirement: Equipment damage covered while at buyer premises</w:t>
              <w:br/>
              <w:br/>
              <w:t>Quote:</w:t>
              <w:br/>
              <w:t>"Management accepted field damage risk after securing a secondary comprehensive corporate property rider policy."</w:t>
            </w:r>
          </w:p>
        </w:tc>
      </w:tr>
      <w:tr>
        <w:tc>
          <w:tcPr>
            <w:tcW w:type="dxa" w:w="1234"/>
          </w:tcPr>
          <w:p>
            <w:r>
              <w:t>Liability</w:t>
            </w:r>
          </w:p>
        </w:tc>
        <w:tc>
          <w:tcPr>
            <w:tcW w:type="dxa" w:w="1234"/>
          </w:tcPr>
          <w:p>
            <w:r>
              <w:t>Aggregate liability cap defined</w:t>
            </w:r>
          </w:p>
        </w:tc>
        <w:tc>
          <w:tcPr>
            <w:tcW w:type="dxa" w:w="1234"/>
          </w:tcPr>
          <w:p>
            <w:r>
              <w:t>Provisions regarding 'Aggregate liability cap defined': Supplier's aggregate liability for repair or replacement of defective equipment under this Article shall not exceed ten percent (10%) of the total Purchase Order value.</w:t>
            </w:r>
          </w:p>
        </w:tc>
        <w:tc>
          <w:tcPr>
            <w:tcW w:type="dxa" w:w="1234"/>
          </w:tcPr>
          <w:p>
            <w:r>
              <w:t>Met</w:t>
            </w:r>
          </w:p>
        </w:tc>
        <w:tc>
          <w:tcPr>
            <w:tcW w:type="dxa" w:w="1234"/>
          </w:tcPr>
          <w:p>
            <w:r>
              <w:t>Supplier's aggregate liability for repair</w:t>
              <w:br/>
              <w:t>or replacement of defective equipment under this Article shall not exceed ten percent (10%) of the total Purchase Order value.</w:t>
            </w:r>
          </w:p>
        </w:tc>
        <w:tc>
          <w:tcPr>
            <w:tcW w:type="dxa" w:w="1234"/>
          </w:tcPr>
          <w:p>
            <w:r>
              <w:t>Supplier's aggregate liability for repair</w:t>
              <w:br/>
              <w:t>or replacement of defective equipment under this Article shall not exceed ten percent (10%) of the total Purchase Order value.</w:t>
            </w:r>
          </w:p>
        </w:tc>
        <w:tc>
          <w:tcPr>
            <w:tcW w:type="dxa" w:w="1234"/>
          </w:tcPr>
          <w:p>
            <w:r>
              <w:t>Historically, uncapped liability exposures were escalated to executive leadership and negotiated through multi-round amendments to align with standard corporate risk boundaries.</w:t>
              <w:br/>
              <w:br/>
              <w:t>Historical Reference</w:t>
              <w:br/>
              <w:t>Sources:</w:t>
              <w:br/>
              <w:t>• d1.docx – Liability</w:t>
              <w:br/>
              <w:t>• d2.docx – Liability</w:t>
            </w:r>
          </w:p>
        </w:tc>
      </w:tr>
      <w:tr>
        <w:tc>
          <w:tcPr>
            <w:tcW w:type="dxa" w:w="1234"/>
          </w:tcPr>
          <w:p>
            <w:r>
              <w:t>Liability</w:t>
            </w:r>
          </w:p>
        </w:tc>
        <w:tc>
          <w:tcPr>
            <w:tcW w:type="dxa" w:w="1234"/>
          </w:tcPr>
          <w:p>
            <w:r>
              <w:t>Liability carve-outs defined</w:t>
            </w:r>
          </w:p>
        </w:tc>
        <w:tc>
          <w:tcPr>
            <w:tcW w:type="dxa" w:w="1234"/>
          </w:tcPr>
          <w:p>
            <w:r>
              <w:t>Provisions regarding 'Liability carve-outs defined': The cap in Article 00511. 1 does not apply to direct costs of emergency removal, re-installation, or temporary site stabilization if the defect creates a safety shutdown.</w:t>
            </w:r>
          </w:p>
        </w:tc>
        <w:tc>
          <w:tcPr>
            <w:tcW w:type="dxa" w:w="1234"/>
          </w:tcPr>
          <w:p>
            <w:r>
              <w:t>Partially Met</w:t>
            </w:r>
          </w:p>
        </w:tc>
        <w:tc>
          <w:tcPr>
            <w:tcW w:type="dxa" w:w="1234"/>
          </w:tcPr>
          <w:p>
            <w:r>
              <w:t>The cap in Article 00511.8.1 does not apply to direct costs of emergency removal, re-installation, or</w:t>
              <w:br/>
              <w:t>temporary site stabilization if the defect creates a safety shutdown.</w:t>
            </w:r>
          </w:p>
        </w:tc>
        <w:tc>
          <w:tcPr>
            <w:tcW w:type="dxa" w:w="1234"/>
          </w:tcPr>
          <w:p>
            <w:r>
              <w:t>Clause contains material limitations, exceptions, carve-outs, conditions, or restricted applicability</w:t>
            </w:r>
          </w:p>
        </w:tc>
        <w:tc>
          <w:tcPr>
            <w:tcW w:type="dxa" w:w="1234"/>
          </w:tcPr>
          <w:p>
            <w:r>
              <w:t>Past efforts focused on narrowing carve-outs by removing open-ended exclusions, such as safety shutdown clauses, to ensure operational errors remain within the liability cap.</w:t>
              <w:br/>
              <w:br/>
              <w:t>Historical Reference</w:t>
              <w:br/>
              <w:t>Source:</w:t>
              <w:br/>
              <w:t>d1.docx</w:t>
              <w:br/>
              <w:t>Clause: Liability</w:t>
              <w:br/>
              <w:t>Requirement: Liability carve-outs defined</w:t>
              <w:br/>
              <w:br/>
              <w:t>Quote:</w:t>
              <w:br/>
              <w:t>"Reduced exposure profiles achieved by removing open-ended safety shutdown exclusions from original drafts."</w:t>
            </w:r>
          </w:p>
        </w:tc>
      </w:tr>
      <w:tr>
        <w:tc>
          <w:tcPr>
            <w:tcW w:type="dxa" w:w="1234"/>
          </w:tcPr>
          <w:p>
            <w:r>
              <w:t>Consequential Damages</w:t>
            </w:r>
          </w:p>
        </w:tc>
        <w:tc>
          <w:tcPr>
            <w:tcW w:type="dxa" w:w="1234"/>
          </w:tcPr>
          <w:p>
            <w:r>
              <w:t>Consequential damages excluded</w:t>
            </w:r>
          </w:p>
        </w:tc>
        <w:tc>
          <w:tcPr>
            <w:tcW w:type="dxa" w:w="1234"/>
          </w:tcPr>
          <w:p>
            <w:r>
              <w:t>Provisions regarding 'Consequential damages excluded': Neither party shall be liable to the other for loss of revenue, loss of profit, loss of use, loss of production, downtime, loss of business opportunity, indirect damages, special damages, punitive damages, exemplary damages, or consequential damages.</w:t>
            </w:r>
          </w:p>
        </w:tc>
        <w:tc>
          <w:tcPr>
            <w:tcW w:type="dxa" w:w="1234"/>
          </w:tcPr>
          <w:p>
            <w:r>
              <w:t>Partially Met</w:t>
            </w:r>
          </w:p>
        </w:tc>
        <w:tc>
          <w:tcPr>
            <w:tcW w:type="dxa" w:w="1234"/>
          </w:tcPr>
          <w:p>
            <w:r>
              <w:t>Neither party shall be liable to the other for loss of revenue, loss of profit, loss of use, loss</w:t>
              <w:br/>
              <w:t>of production, downtime, loss of business opportunity, indirect damages, special damages, punitive damages, exemplary damages, or</w:t>
              <w:br/>
              <w:t>consequential damages.</w:t>
            </w:r>
          </w:p>
        </w:tc>
        <w:tc>
          <w:tcPr>
            <w:tcW w:type="dxa" w:w="1234"/>
          </w:tcPr>
          <w:p>
            <w:r>
              <w:t>Clause contains material limitations, exceptions, carve-outs, conditions, or restricted applicability</w:t>
            </w:r>
          </w:p>
        </w:tc>
        <w:tc>
          <w:tcPr>
            <w:tcW w:type="dxa" w:w="1234"/>
          </w:tcPr>
          <w:p>
            <w:r>
              <w:t>Negotiations focused on clarifying damage definitions and integrating absolute mutual waivers to isolate both entities from speculative financial claims.</w:t>
              <w:br/>
              <w:br/>
              <w:t>Historical Reference</w:t>
              <w:br/>
              <w:t>Sources:</w:t>
              <w:br/>
              <w:t>• d1.docx – Consequential Damages</w:t>
              <w:br/>
              <w:t>• d2.docx – Consequential Damages</w:t>
            </w:r>
          </w:p>
        </w:tc>
      </w:tr>
      <w:tr>
        <w:tc>
          <w:tcPr>
            <w:tcW w:type="dxa" w:w="1234"/>
          </w:tcPr>
          <w:p>
            <w:r>
              <w:t>Consequential Damages</w:t>
            </w:r>
          </w:p>
        </w:tc>
        <w:tc>
          <w:tcPr>
            <w:tcW w:type="dxa" w:w="1234"/>
          </w:tcPr>
          <w:p>
            <w:r>
              <w:t>Exceptions to exclusion defined</w:t>
            </w:r>
          </w:p>
        </w:tc>
        <w:tc>
          <w:tcPr>
            <w:tcW w:type="dxa" w:w="1234"/>
          </w:tcPr>
          <w:p>
            <w:r>
              <w:t>Provisions regarding 'Exceptions to exclusion defined': Neither party shall be liable to the other for loss of revenue, loss of profit, loss of use, loss of production, downtime, loss of business opportunity, indirect damages, special damages, punitive damages, exemplary damages, or consequential damages.</w:t>
            </w:r>
          </w:p>
        </w:tc>
        <w:tc>
          <w:tcPr>
            <w:tcW w:type="dxa" w:w="1234"/>
          </w:tcPr>
          <w:p>
            <w:r>
              <w:t>Partially Met</w:t>
            </w:r>
          </w:p>
        </w:tc>
        <w:tc>
          <w:tcPr>
            <w:tcW w:type="dxa" w:w="1234"/>
          </w:tcPr>
          <w:p>
            <w:r>
              <w:t>Neither party shall be liable to the other for loss of revenue, loss of profit, loss of use, loss</w:t>
              <w:br/>
              <w:t>of production, downtime, loss of business opportunity, indirect damages, special damages, punitive damages, exemplary damages, or</w:t>
              <w:br/>
              <w:t>consequential damages.</w:t>
            </w:r>
          </w:p>
        </w:tc>
        <w:tc>
          <w:tcPr>
            <w:tcW w:type="dxa" w:w="1234"/>
          </w:tcPr>
          <w:p>
            <w:r>
              <w:t>Clause contains material limitations, exceptions, carve-outs, conditions, or restricted applicability</w:t>
            </w:r>
          </w:p>
        </w:tc>
        <w:tc>
          <w:tcPr>
            <w:tcW w:type="dxa" w:w="1234"/>
          </w:tcPr>
          <w:p>
            <w:r>
              <w:t>Efforts were made to narrow or completely eliminate exceptions to ensure an unconditional waiver structure, though some vendors re-inserted specific exclusions for environmental incidents.</w:t>
              <w:br/>
              <w:br/>
              <w:t>Historical Reference</w:t>
              <w:br/>
              <w:t>Sources:</w:t>
              <w:br/>
              <w:t>• d1.docx – Consequential Damages</w:t>
              <w:br/>
              <w:t>• d2.docx – Consequential Damages</w:t>
            </w:r>
          </w:p>
        </w:tc>
      </w:tr>
      <w:tr>
        <w:tc>
          <w:tcPr>
            <w:tcW w:type="dxa" w:w="1234"/>
          </w:tcPr>
          <w:p>
            <w:r>
              <w:t>Critical Sub-Suppliers</w:t>
            </w:r>
          </w:p>
        </w:tc>
        <w:tc>
          <w:tcPr>
            <w:tcW w:type="dxa" w:w="1234"/>
          </w:tcPr>
          <w:p>
            <w:r>
              <w:t>Approved critical vendors identified</w:t>
            </w:r>
          </w:p>
        </w:tc>
        <w:tc>
          <w:tcPr>
            <w:tcW w:type="dxa" w:w="1234"/>
          </w:tcPr>
          <w:p>
            <w:r>
              <w:t>Provisions regarding 'Approved critical vendors identified': Annex D approved critical sub-suppliers: BrightForge Rings Pvt.</w:t>
            </w:r>
          </w:p>
        </w:tc>
        <w:tc>
          <w:tcPr>
            <w:tcW w:type="dxa" w:w="1234"/>
          </w:tcPr>
          <w:p>
            <w:r>
              <w:t>Met</w:t>
            </w:r>
          </w:p>
        </w:tc>
        <w:tc>
          <w:tcPr>
            <w:tcW w:type="dxa" w:w="1234"/>
          </w:tcPr>
          <w:p>
            <w:r>
              <w:t>Annex D approved critical sub-suppliers: BrightForge Rings Pvt.</w:t>
            </w:r>
          </w:p>
        </w:tc>
        <w:tc>
          <w:tcPr>
            <w:tcW w:type="dxa" w:w="1234"/>
          </w:tcPr>
          <w:p>
            <w:r>
              <w:t>Annex D approved critical sub-suppliers: BrightForge Rings Pvt.</w:t>
            </w:r>
          </w:p>
        </w:tc>
        <w:tc>
          <w:tcPr>
            <w:tcW w:type="dxa" w:w="1234"/>
          </w:tcPr>
          <w:p>
            <w:r>
              <w:t>Historically, the identification of critical vendors involved expanding registries to include both forging houses and metallurgical suppliers, with quality assurance teams pre-clearing alternate directories.</w:t>
              <w:br/>
              <w:br/>
              <w:t>Historical Reference</w:t>
              <w:br/>
              <w:t>Sources:</w:t>
              <w:br/>
              <w:t>• d1.docx – Critical Sub-Suppliers</w:t>
              <w:br/>
              <w:t>• d2.docx – Critical Sub-Suppliers</w:t>
            </w:r>
          </w:p>
        </w:tc>
      </w:tr>
      <w:tr>
        <w:tc>
          <w:tcPr>
            <w:tcW w:type="dxa" w:w="1234"/>
          </w:tcPr>
          <w:p>
            <w:r>
              <w:t>Critical Sub-Suppliers</w:t>
            </w:r>
          </w:p>
        </w:tc>
        <w:tc>
          <w:tcPr>
            <w:tcW w:type="dxa" w:w="1234"/>
          </w:tcPr>
          <w:p>
            <w:r>
              <w:t>Vendor substitution restrictions defined</w:t>
            </w:r>
          </w:p>
        </w:tc>
        <w:tc>
          <w:tcPr>
            <w:tcW w:type="dxa" w:w="1234"/>
          </w:tcPr>
          <w:p>
            <w:r>
              <w:t>Provisions regarding 'Vendor substitution restrictions defined': Annex D approved critical sub-suppliers: BrightForge Rings Pvt.</w:t>
            </w:r>
          </w:p>
        </w:tc>
        <w:tc>
          <w:tcPr>
            <w:tcW w:type="dxa" w:w="1234"/>
          </w:tcPr>
          <w:p>
            <w:r>
              <w:t>Met</w:t>
            </w:r>
          </w:p>
        </w:tc>
        <w:tc>
          <w:tcPr>
            <w:tcW w:type="dxa" w:w="1234"/>
          </w:tcPr>
          <w:p>
            <w:r>
              <w:t>Annex D approved critical sub-suppliers: BrightForge Rings Pvt.</w:t>
            </w:r>
          </w:p>
        </w:tc>
        <w:tc>
          <w:tcPr>
            <w:tcW w:type="dxa" w:w="1234"/>
          </w:tcPr>
          <w:p>
            <w:r>
              <w:t>Annex D approved critical sub-suppliers: BrightForge Rings Pvt.</w:t>
            </w:r>
          </w:p>
        </w:tc>
        <w:tc>
          <w:tcPr>
            <w:tcW w:type="dxa" w:w="1234"/>
          </w:tcPr>
          <w:p>
            <w:r>
              <w:t>Past actions focused on remediating unauthorized substitution risks by challenging clauses that allowed vendors to switch suppliers via simple notification without buyer approval.</w:t>
              <w:br/>
              <w:br/>
              <w:t>Historical Reference</w:t>
              <w:br/>
              <w:t>Source:</w:t>
              <w:br/>
              <w:t>d1.docx</w:t>
              <w:br/>
              <w:t>Clause: Critical Sub-Suppliers</w:t>
              <w:br/>
              <w:t>Requirement: Vendor substitution restrictions defined</w:t>
              <w:br/>
              <w:br/>
              <w:t>Quote:</w:t>
              <w:br/>
              <w:t>"Unauthorized substitution risks flagged by internal audit; remediation strategy currently under review."</w:t>
            </w:r>
          </w:p>
        </w:tc>
      </w:tr>
    </w:tbl>
    <w:p>
      <w:r>
        <w:br w:type="page"/>
      </w:r>
    </w:p>
    <w:p>
      <w:pPr>
        <w:pStyle w:val="Heading2"/>
      </w:pPr>
      <w:r>
        <w:t>Table 2 - Risk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Clause</w:t>
            </w:r>
          </w:p>
        </w:tc>
        <w:tc>
          <w:tcPr>
            <w:tcW w:type="dxa" w:w="1440"/>
          </w:tcPr>
          <w:p>
            <w:r>
              <w:t>Requirement</w:t>
            </w:r>
          </w:p>
        </w:tc>
        <w:tc>
          <w:tcPr>
            <w:tcW w:type="dxa" w:w="1440"/>
          </w:tcPr>
          <w:p>
            <w:r>
              <w:t>RAG</w:t>
            </w:r>
          </w:p>
        </w:tc>
        <w:tc>
          <w:tcPr>
            <w:tcW w:type="dxa" w:w="1440"/>
          </w:tcPr>
          <w:p>
            <w:r>
              <w:t>Risk</w:t>
            </w:r>
          </w:p>
        </w:tc>
        <w:tc>
          <w:tcPr>
            <w:tcW w:type="dxa" w:w="1440"/>
          </w:tcPr>
          <w:p>
            <w:r>
              <w:t>Rationale</w:t>
            </w:r>
          </w:p>
        </w:tc>
        <w:tc>
          <w:tcPr>
            <w:tcW w:type="dxa" w:w="1440"/>
          </w:tcPr>
          <w:p>
            <w:r>
              <w:t>Mitigation</w:t>
            </w:r>
          </w:p>
        </w:tc>
      </w:tr>
      <w:tr>
        <w:tc>
          <w:tcPr>
            <w:tcW w:type="dxa" w:w="1440"/>
          </w:tcPr>
          <w:p>
            <w:r>
              <w:t>Payment Terms</w:t>
            </w:r>
          </w:p>
        </w:tc>
        <w:tc>
          <w:tcPr>
            <w:tcW w:type="dxa" w:w="1440"/>
          </w:tcPr>
          <w:p>
            <w:r>
              <w:t>45% Minimum Advance</w:t>
            </w:r>
          </w:p>
        </w:tc>
        <w:tc>
          <w:tcPr>
            <w:tcW w:type="dxa" w:w="1440"/>
          </w:tcPr>
          <w:p>
            <w:r>
              <w:t>Amber</w:t>
            </w:r>
          </w:p>
        </w:tc>
        <w:tc>
          <w:tcPr>
            <w:tcW w:type="dxa" w:w="1440"/>
          </w:tcPr>
          <w:p>
            <w:r>
              <w:t>Cash-flow risk and payment delay exposure</w:t>
            </w:r>
          </w:p>
        </w:tc>
        <w:tc>
          <w:tcPr>
            <w:tcW w:type="dxa" w:w="1440"/>
          </w:tcPr>
          <w:p>
            <w:r>
              <w:t>The 45% advance is split into two tranches. The second 15% is conditional upon the delivery of a performance bank guarantee, signed kick-off minutes, and a document submission register. Failure to meet these conditions within 20 days allows the Buyer to defer payment without interest, creating a dependency that restricts immediate access to the full advance payment.</w:t>
            </w:r>
          </w:p>
        </w:tc>
        <w:tc>
          <w:tcPr>
            <w:tcW w:type="dxa" w:w="1440"/>
          </w:tcPr>
          <w:p>
            <w:r>
              <w:t>Ensure the full 45% advance is payable as a single lump sum upon PO acknowledgement and submission of Annex B documents.</w:t>
            </w:r>
          </w:p>
        </w:tc>
      </w:tr>
      <w:tr>
        <w:tc>
          <w:tcPr>
            <w:tcW w:type="dxa" w:w="1440"/>
          </w:tcPr>
          <w:p>
            <w:r>
              <w:t>Payment Terms</w:t>
            </w:r>
          </w:p>
        </w:tc>
        <w:tc>
          <w:tcPr>
            <w:tcW w:type="dxa" w:w="1440"/>
          </w:tcPr>
          <w:p>
            <w:r>
              <w:t>All payments Net 30 days from invoice</w:t>
            </w:r>
          </w:p>
        </w:tc>
        <w:tc>
          <w:tcPr>
            <w:tcW w:type="dxa" w:w="1440"/>
          </w:tcPr>
          <w:p>
            <w:r>
              <w:t>Amber</w:t>
            </w:r>
          </w:p>
        </w:tc>
        <w:tc>
          <w:tcPr>
            <w:tcW w:type="dxa" w:w="1440"/>
          </w:tcPr>
          <w:p>
            <w:r>
              <w:t>Cash-flow risk and payment delays</w:t>
            </w:r>
          </w:p>
        </w:tc>
        <w:tc>
          <w:tcPr>
            <w:tcW w:type="dxa" w:w="1440"/>
          </w:tcPr>
          <w:p>
            <w:r>
              <w:t>The payment clock is contingent upon internal Buyer processes including goods receipt, inspection, and packing-list reconciliation. This allows the Buyer to unilaterally delay payment regardless of the invoice date, creating financial uncertainty and extended payment cycles.</w:t>
            </w:r>
          </w:p>
        </w:tc>
        <w:tc>
          <w:tcPr>
            <w:tcW w:type="dxa" w:w="1440"/>
          </w:tcPr>
          <w:p>
            <w:r>
              <w:t>Set payment as Net 30 days from invoice receipt and remove dependencies on internal acceptance records to trigger the payment clock.</w:t>
            </w:r>
          </w:p>
        </w:tc>
      </w:tr>
      <w:tr>
        <w:tc>
          <w:tcPr>
            <w:tcW w:type="dxa" w:w="1440"/>
          </w:tcPr>
          <w:p>
            <w:r>
              <w:t>Bank Guarantees</w:t>
            </w:r>
          </w:p>
        </w:tc>
        <w:tc>
          <w:tcPr>
            <w:tcW w:type="dxa" w:w="1440"/>
          </w:tcPr>
          <w:p>
            <w:r>
              <w:t>Performance Guarantee not exceeding 10%</w:t>
            </w:r>
          </w:p>
        </w:tc>
        <w:tc>
          <w:tcPr>
            <w:tcW w:type="dxa" w:w="1440"/>
          </w:tcPr>
          <w:p>
            <w:r>
              <w:t>Red</w:t>
            </w:r>
          </w:p>
        </w:tc>
        <w:tc>
          <w:tcPr>
            <w:tcW w:type="dxa" w:w="1440"/>
          </w:tcPr>
          <w:p>
            <w:r>
              <w:t>Financial exposure and guarantee risk</w:t>
            </w:r>
          </w:p>
        </w:tc>
        <w:tc>
          <w:tcPr>
            <w:tcW w:type="dxa" w:w="1440"/>
          </w:tcPr>
          <w:p>
            <w:r>
              <w:t>The total security obligation is 12 percent of the Purchase Order value due to the combination of the 10 percent performance guarantee and 2 percent bridge guarantee. This exceeds the maximum 10 percent requirement, creating an over-collateralization of the supplier and increasing financial burden.</w:t>
            </w:r>
          </w:p>
        </w:tc>
        <w:tc>
          <w:tcPr>
            <w:tcW w:type="dxa" w:w="1440"/>
          </w:tcPr>
          <w:p>
            <w:r>
              <w:t>Reduce total performance security to a maximum of 10 percent including bridge guarantees.</w:t>
            </w:r>
          </w:p>
        </w:tc>
      </w:tr>
      <w:tr>
        <w:tc>
          <w:tcPr>
            <w:tcW w:type="dxa" w:w="1440"/>
          </w:tcPr>
          <w:p>
            <w:r>
              <w:t>Liquidated Damages</w:t>
            </w:r>
          </w:p>
        </w:tc>
        <w:tc>
          <w:tcPr>
            <w:tcW w:type="dxa" w:w="1440"/>
          </w:tcPr>
          <w:p>
            <w:r>
              <w:t>Documentation LD not applicable</w:t>
            </w:r>
          </w:p>
        </w:tc>
        <w:tc>
          <w:tcPr>
            <w:tcW w:type="dxa" w:w="1440"/>
          </w:tcPr>
          <w:p>
            <w:r>
              <w:t>Amber</w:t>
            </w:r>
          </w:p>
        </w:tc>
        <w:tc>
          <w:tcPr>
            <w:tcW w:type="dxa" w:w="1440"/>
          </w:tcPr>
          <w:p>
            <w:r>
              <w:t>Financial exposure due to liquidated damages limitations</w:t>
            </w:r>
          </w:p>
        </w:tc>
        <w:tc>
          <w:tcPr>
            <w:tcW w:type="dxa" w:w="1440"/>
          </w:tcPr>
          <w:p>
            <w:r>
              <w:t>The clause restricts liquidated damages for documentation unless classified as Critical Dispatch Documents. Additionally, equipment delivery LD is capped at 5 percent per part and total aggregate exposure is limited to 7.5 percent of PO value. These carve-outs and caps reduce the financial recovery available to the buyer for supplier delays.</w:t>
            </w:r>
          </w:p>
        </w:tc>
        <w:tc>
          <w:tcPr>
            <w:tcW w:type="dxa" w:w="1440"/>
          </w:tcPr>
          <w:p>
            <w:r>
              <w:t>Remove documentation LD exclusions and increase the aggregate delay exposure cap beyond 7.5 percent of the total Purchase Order value.</w:t>
            </w:r>
          </w:p>
        </w:tc>
      </w:tr>
      <w:tr>
        <w:tc>
          <w:tcPr>
            <w:tcW w:type="dxa" w:w="1440"/>
          </w:tcPr>
          <w:p>
            <w:r>
              <w:t>Liquidated Damages</w:t>
            </w:r>
          </w:p>
        </w:tc>
        <w:tc>
          <w:tcPr>
            <w:tcW w:type="dxa" w:w="1440"/>
          </w:tcPr>
          <w:p>
            <w:r>
              <w:t>Equipment Delivery LD 0.5% per week</w:t>
            </w:r>
          </w:p>
        </w:tc>
        <w:tc>
          <w:tcPr>
            <w:tcW w:type="dxa" w:w="1440"/>
          </w:tcPr>
          <w:p>
            <w:r>
              <w:t>Amber</w:t>
            </w:r>
          </w:p>
        </w:tc>
        <w:tc>
          <w:tcPr>
            <w:tcW w:type="dxa" w:w="1440"/>
          </w:tcPr>
          <w:p>
            <w:r>
              <w:t>Financial exposure due to limited liquidated damages recovery</w:t>
            </w:r>
          </w:p>
        </w:tc>
        <w:tc>
          <w:tcPr>
            <w:tcW w:type="dxa" w:w="1440"/>
          </w:tcPr>
          <w:p>
            <w:r>
              <w:t>The clause imposes a 5 percent cap on individual equipment delivery LDs and a 7.5 percent aggregate cap on total PO value. This limits the buyer's ability to recover full losses resulting from extended delivery delays, as the financial penalty is capped regardless of the actual duration of the delay or total impact.</w:t>
            </w:r>
          </w:p>
        </w:tc>
        <w:tc>
          <w:tcPr>
            <w:tcW w:type="dxa" w:w="1440"/>
          </w:tcPr>
          <w:p>
            <w:r>
              <w:t>Remove the 5 percent individual equipment cap and increase the aggregate delivery LD cap to align with expected project risk exposure.</w:t>
            </w:r>
          </w:p>
        </w:tc>
      </w:tr>
      <w:tr>
        <w:tc>
          <w:tcPr>
            <w:tcW w:type="dxa" w:w="1440"/>
          </w:tcPr>
          <w:p>
            <w:r>
              <w:t>Liquidated Damages</w:t>
            </w:r>
          </w:p>
        </w:tc>
        <w:tc>
          <w:tcPr>
            <w:tcW w:type="dxa" w:w="1440"/>
          </w:tcPr>
          <w:p>
            <w:r>
              <w:t>Equipment Delivery LD capped at 5%</w:t>
            </w:r>
          </w:p>
        </w:tc>
        <w:tc>
          <w:tcPr>
            <w:tcW w:type="dxa" w:w="1440"/>
          </w:tcPr>
          <w:p>
            <w:r>
              <w:t>Amber</w:t>
            </w:r>
          </w:p>
        </w:tc>
        <w:tc>
          <w:tcPr>
            <w:tcW w:type="dxa" w:w="1440"/>
          </w:tcPr>
          <w:p>
            <w:r>
              <w:t>Financial exposure due to increased aggregate liquidated damages cap</w:t>
            </w:r>
          </w:p>
        </w:tc>
        <w:tc>
          <w:tcPr>
            <w:tcW w:type="dxa" w:w="1440"/>
          </w:tcPr>
          <w:p>
            <w:r>
              <w:t>While individual equipment delivery LD is capped at 5 percent, Clause 00511.5.4 establishes an aggregate cap of 7.5 percent of the total Purchase Order value. This extends the total financial liability for delays and service credits beyond the 5 percent requirement, increasing the total amount the supplier may be required to pay.</w:t>
            </w:r>
          </w:p>
        </w:tc>
        <w:tc>
          <w:tcPr>
            <w:tcW w:type="dxa" w:w="1440"/>
          </w:tcPr>
          <w:p>
            <w:r>
              <w:t>Reduce the aggregate delay exposure cap for Delivery LD and service credits to a maximum of 5 percent of the total Purchase Order value.</w:t>
            </w:r>
          </w:p>
        </w:tc>
      </w:tr>
      <w:tr>
        <w:tc>
          <w:tcPr>
            <w:tcW w:type="dxa" w:w="1440"/>
          </w:tcPr>
          <w:p>
            <w:r>
              <w:t>Liquidated Damages</w:t>
            </w:r>
          </w:p>
        </w:tc>
        <w:tc>
          <w:tcPr>
            <w:tcW w:type="dxa" w:w="1440"/>
          </w:tcPr>
          <w:p>
            <w:r>
              <w:t>Aggregate LD capped at 5% PO value</w:t>
            </w:r>
          </w:p>
        </w:tc>
        <w:tc>
          <w:tcPr>
            <w:tcW w:type="dxa" w:w="1440"/>
          </w:tcPr>
          <w:p>
            <w:r>
              <w:t>Red</w:t>
            </w:r>
          </w:p>
        </w:tc>
        <w:tc>
          <w:tcPr>
            <w:tcW w:type="dxa" w:w="1440"/>
          </w:tcPr>
          <w:p>
            <w:r>
              <w:t>Financial liability exposure</w:t>
            </w:r>
          </w:p>
        </w:tc>
        <w:tc>
          <w:tcPr>
            <w:tcW w:type="dxa" w:w="1440"/>
          </w:tcPr>
          <w:p>
            <w:r>
              <w:t>The aggregate cap for liquidated damages and service credits is set at 7.5 percent of the total Purchase Order value, which exceeds the required limit of 5 percent. This creates an additional 2.5 percent financial exposure beyond the enterprise compliance threshold.</w:t>
            </w:r>
          </w:p>
        </w:tc>
        <w:tc>
          <w:tcPr>
            <w:tcW w:type="dxa" w:w="1440"/>
          </w:tcPr>
          <w:p>
            <w:r>
              <w:t>Reduce aggregate LD and service-credit exposure to a maximum of 5 percent of total PO value.</w:t>
            </w:r>
          </w:p>
        </w:tc>
      </w:tr>
      <w:tr>
        <w:tc>
          <w:tcPr>
            <w:tcW w:type="dxa" w:w="1440"/>
          </w:tcPr>
          <w:p>
            <w:r>
              <w:t>Liquidated Damages</w:t>
            </w:r>
          </w:p>
        </w:tc>
        <w:tc>
          <w:tcPr>
            <w:tcW w:type="dxa" w:w="1440"/>
          </w:tcPr>
          <w:p>
            <w:r>
              <w:t>Remedial Work LD not applicable</w:t>
            </w:r>
          </w:p>
        </w:tc>
        <w:tc>
          <w:tcPr>
            <w:tcW w:type="dxa" w:w="1440"/>
          </w:tcPr>
          <w:p>
            <w:r>
              <w:t>Amber</w:t>
            </w:r>
          </w:p>
        </w:tc>
        <w:tc>
          <w:tcPr>
            <w:tcW w:type="dxa" w:w="1440"/>
          </w:tcPr>
          <w:p>
            <w:r>
              <w:t>Financial exposure due to lack of remedial work LDs</w:t>
            </w:r>
          </w:p>
        </w:tc>
        <w:tc>
          <w:tcPr>
            <w:tcW w:type="dxa" w:w="1440"/>
          </w:tcPr>
          <w:p>
            <w:r>
              <w:t>Clause 00511.5.3 explicitly exempts remedial work, warranty repairs, and replacements from liquidated damages. This removes financial leverage to ensure timely corrective actions after delivery, potentially leading to prolonged operational downtime without monetary recourse beyond a corrective-action plan.</w:t>
            </w:r>
          </w:p>
        </w:tc>
        <w:tc>
          <w:tcPr>
            <w:tcW w:type="dxa" w:w="1440"/>
          </w:tcPr>
          <w:p>
            <w:r>
              <w:t>Implement liquidated damages for delays in completing remedial work, warranty repairs, and replacements.</w:t>
            </w:r>
          </w:p>
        </w:tc>
      </w:tr>
      <w:tr>
        <w:tc>
          <w:tcPr>
            <w:tcW w:type="dxa" w:w="1440"/>
          </w:tcPr>
          <w:p>
            <w:r>
              <w:t>Guarantee</w:t>
            </w:r>
          </w:p>
        </w:tc>
        <w:tc>
          <w:tcPr>
            <w:tcW w:type="dxa" w:w="1440"/>
          </w:tcPr>
          <w:p>
            <w:r>
              <w:t>Warranty period defined</w:t>
            </w:r>
          </w:p>
        </w:tc>
        <w:tc>
          <w:tcPr>
            <w:tcW w:type="dxa" w:w="1440"/>
          </w:tcPr>
          <w:p>
            <w:r>
              <w:t>Amber</w:t>
            </w:r>
          </w:p>
        </w:tc>
        <w:tc>
          <w:tcPr>
            <w:tcW w:type="dxa" w:w="1440"/>
          </w:tcPr>
          <w:p>
            <w:r>
              <w:t>Warranty risk and financial exposure</w:t>
            </w:r>
          </w:p>
        </w:tc>
        <w:tc>
          <w:tcPr>
            <w:tcW w:type="dxa" w:w="1440"/>
          </w:tcPr>
          <w:p>
            <w:r>
              <w:t>The warranty period is limited to two months from commissioning or eighteen months from dispatch. The remedial guarantee for replaced components is capped by the original dispatch date, potentially leaving equipment without coverage if repairs occur late in the primary warranty period.</w:t>
            </w:r>
          </w:p>
        </w:tc>
        <w:tc>
          <w:tcPr>
            <w:tcW w:type="dxa" w:w="1440"/>
          </w:tcPr>
          <w:p>
            <w:r>
              <w:t>Extend standard guarantee to twelve months from commissioning and ensure remedial guarantees provide full twelve month coverage regardless of original dispatch date.</w:t>
            </w:r>
          </w:p>
        </w:tc>
      </w:tr>
      <w:tr>
        <w:tc>
          <w:tcPr>
            <w:tcW w:type="dxa" w:w="1440"/>
          </w:tcPr>
          <w:p>
            <w:r>
              <w:t>Guarantee</w:t>
            </w:r>
          </w:p>
        </w:tc>
        <w:tc>
          <w:tcPr>
            <w:tcW w:type="dxa" w:w="1440"/>
          </w:tcPr>
          <w:p>
            <w:r>
              <w:t>2 months from commissioning or 18 months from dispatch</w:t>
            </w:r>
          </w:p>
        </w:tc>
        <w:tc>
          <w:tcPr>
            <w:tcW w:type="dxa" w:w="1440"/>
          </w:tcPr>
          <w:p>
            <w:r>
              <w:t>Amber</w:t>
            </w:r>
          </w:p>
        </w:tc>
        <w:tc>
          <w:tcPr>
            <w:tcW w:type="dxa" w:w="1440"/>
          </w:tcPr>
          <w:p>
            <w:r>
              <w:t>Warranty risk and limited remedial guarantee exposure</w:t>
            </w:r>
          </w:p>
        </w:tc>
        <w:tc>
          <w:tcPr>
            <w:tcW w:type="dxa" w:w="1440"/>
          </w:tcPr>
          <w:p>
            <w:r>
              <w:t>The remedial guarantee for replaced components is capped at 18 months from original dispatch. This creates a gap where a new component may have negligible remaining coverage if the original equipment was dispatched long before the repair, reducing the overall protection period for critical replacements.</w:t>
            </w:r>
          </w:p>
        </w:tc>
        <w:tc>
          <w:tcPr>
            <w:tcW w:type="dxa" w:w="1440"/>
          </w:tcPr>
          <w:p>
            <w:r>
              <w:t>Ensure repaired or replaced components are guaranteed for 12 months from completion of repair regardless of the original dispatch date.</w:t>
            </w:r>
          </w:p>
        </w:tc>
      </w:tr>
      <w:tr>
        <w:tc>
          <w:tcPr>
            <w:tcW w:type="dxa" w:w="1440"/>
          </w:tcPr>
          <w:p>
            <w:r>
              <w:t>Guarantee</w:t>
            </w:r>
          </w:p>
        </w:tc>
        <w:tc>
          <w:tcPr>
            <w:tcW w:type="dxa" w:w="1440"/>
          </w:tcPr>
          <w:p>
            <w:r>
              <w:t>Repair/replacement warranty obligations defined</w:t>
            </w:r>
          </w:p>
        </w:tc>
        <w:tc>
          <w:tcPr>
            <w:tcW w:type="dxa" w:w="1440"/>
          </w:tcPr>
          <w:p>
            <w:r>
              <w:t>Amber</w:t>
            </w:r>
          </w:p>
        </w:tc>
        <w:tc>
          <w:tcPr>
            <w:tcW w:type="dxa" w:w="1440"/>
          </w:tcPr>
          <w:p>
            <w:r>
              <w:t>Warranty risk and financial exposure</w:t>
            </w:r>
          </w:p>
        </w:tc>
        <w:tc>
          <w:tcPr>
            <w:tcW w:type="dxa" w:w="1440"/>
          </w:tcPr>
          <w:p>
            <w:r>
              <w:t>The remedial guarantee is capped at 18 months from original dispatch regardless of when the repair occurs. This creates a coverage gap where components replaced late in the original warranty period receive significantly reduced protection, potentially forcing the buyer to fund repairs for failing components shortly after replacement.</w:t>
            </w:r>
          </w:p>
        </w:tc>
        <w:tc>
          <w:tcPr>
            <w:tcW w:type="dxa" w:w="1440"/>
          </w:tcPr>
          <w:p>
            <w:r>
              <w:t>Provide a full twelve month guarantee for all repaired or replaced components from the date of completion without a cap tied to the original dispatch date.</w:t>
            </w:r>
          </w:p>
        </w:tc>
      </w:tr>
      <w:tr>
        <w:tc>
          <w:tcPr>
            <w:tcW w:type="dxa" w:w="1440"/>
          </w:tcPr>
          <w:p>
            <w:r>
              <w:t>Force Majeure</w:t>
            </w:r>
          </w:p>
        </w:tc>
        <w:tc>
          <w:tcPr>
            <w:tcW w:type="dxa" w:w="1440"/>
          </w:tcPr>
          <w:p>
            <w:r>
              <w:t>Force majeure events defined</w:t>
            </w:r>
          </w:p>
        </w:tc>
        <w:tc>
          <w:tcPr>
            <w:tcW w:type="dxa" w:w="1440"/>
          </w:tcPr>
          <w:p>
            <w:r>
              <w:t>Amber</w:t>
            </w:r>
          </w:p>
        </w:tc>
        <w:tc>
          <w:tcPr>
            <w:tcW w:type="dxa" w:w="1440"/>
          </w:tcPr>
          <w:p>
            <w:r>
              <w:t>force majeure limitations</w:t>
            </w:r>
          </w:p>
        </w:tc>
        <w:tc>
          <w:tcPr>
            <w:tcW w:type="dxa" w:w="1440"/>
          </w:tcPr>
          <w:p>
            <w:r>
              <w:t>Article 00511.7.2 restricts supply-chain relief exclusively to Tier-1 sub-suppliers in Annex D and approved carriers. This creates an operational risk where disruptions from unnamed subcontractors or alternate vendors do not qualify for relief, potentially leading to breach of contract or liquidated damages despite the event being beyond the supplier's reasonable control.</w:t>
            </w:r>
          </w:p>
        </w:tc>
        <w:tc>
          <w:tcPr>
            <w:tcW w:type="dxa" w:w="1440"/>
          </w:tcPr>
          <w:p>
            <w:r>
              <w:t>Extend force majeure relief to include all reasonably foreseeable sub-suppliers and subcontractors regardless of their designation in Annex D.</w:t>
            </w:r>
          </w:p>
        </w:tc>
      </w:tr>
      <w:tr>
        <w:tc>
          <w:tcPr>
            <w:tcW w:type="dxa" w:w="1440"/>
          </w:tcPr>
          <w:p>
            <w:r>
              <w:t>Force Majeure</w:t>
            </w:r>
          </w:p>
        </w:tc>
        <w:tc>
          <w:tcPr>
            <w:tcW w:type="dxa" w:w="1440"/>
          </w:tcPr>
          <w:p>
            <w:r>
              <w:t>Applies to subcontractors</w:t>
            </w:r>
          </w:p>
        </w:tc>
        <w:tc>
          <w:tcPr>
            <w:tcW w:type="dxa" w:w="1440"/>
          </w:tcPr>
          <w:p>
            <w:r>
              <w:t>Amber</w:t>
            </w:r>
          </w:p>
        </w:tc>
        <w:tc>
          <w:tcPr>
            <w:tcW w:type="dxa" w:w="1440"/>
          </w:tcPr>
          <w:p>
            <w:r>
              <w:t>Force majeure limitations</w:t>
            </w:r>
          </w:p>
        </w:tc>
        <w:tc>
          <w:tcPr>
            <w:tcW w:type="dxa" w:w="1440"/>
          </w:tcPr>
          <w:p>
            <w:r>
              <w:t>The clause restricts force majeure relief to only named Tier-1 critical sub-suppliers and approved carriers. This creates operational and financial exposure because any disruption caused by unnamed subcontractors or alternate vendors will not excuse non-performance, potentially leading to breach of contract or liquidated damages despite events being beyond the supplier's reasonable control.</w:t>
            </w:r>
          </w:p>
        </w:tc>
        <w:tc>
          <w:tcPr>
            <w:tcW w:type="dxa" w:w="1440"/>
          </w:tcPr>
          <w:p>
            <w:r>
              <w:t>Extend force majeure relief to all subcontractors and vendors regardless of their Tier status or inclusion in Annex D.</w:t>
            </w:r>
          </w:p>
        </w:tc>
      </w:tr>
      <w:tr>
        <w:tc>
          <w:tcPr>
            <w:tcW w:type="dxa" w:w="1440"/>
          </w:tcPr>
          <w:p>
            <w:r>
              <w:t>Force Majeure</w:t>
            </w:r>
          </w:p>
        </w:tc>
        <w:tc>
          <w:tcPr>
            <w:tcW w:type="dxa" w:w="1440"/>
          </w:tcPr>
          <w:p>
            <w:r>
              <w:t>Notice obligations defined</w:t>
            </w:r>
          </w:p>
        </w:tc>
        <w:tc>
          <w:tcPr>
            <w:tcW w:type="dxa" w:w="1440"/>
          </w:tcPr>
          <w:p>
            <w:r>
              <w:t>Amber</w:t>
            </w:r>
          </w:p>
        </w:tc>
        <w:tc>
          <w:tcPr>
            <w:tcW w:type="dxa" w:w="1440"/>
          </w:tcPr>
          <w:p>
            <w:r>
              <w:t>Force majeure limitations</w:t>
            </w:r>
          </w:p>
        </w:tc>
        <w:tc>
          <w:tcPr>
            <w:tcW w:type="dxa" w:w="1440"/>
          </w:tcPr>
          <w:p>
            <w:r>
              <w:t>The clause restricts Force Majeure relief for supply chain events exclusively to named Tier-1 critical sub-suppliers and the approved logistics carrier. This creates operational and financial exposure by excluding unnamed subcontractors and alternate vendors, meaning the supplier cannot claim relief for disruptions occurring elsewhere in their supply chain unless the event independently meets general Force Majeure criteria.</w:t>
            </w:r>
          </w:p>
        </w:tc>
        <w:tc>
          <w:tcPr>
            <w:tcW w:type="dxa" w:w="1440"/>
          </w:tcPr>
          <w:p>
            <w:r>
              <w:t>Extend force majeure relief to all approved subcontractors and logistics providers regardless of their classification in Annex D.</w:t>
            </w:r>
          </w:p>
        </w:tc>
      </w:tr>
      <w:tr>
        <w:tc>
          <w:tcPr>
            <w:tcW w:type="dxa" w:w="1440"/>
          </w:tcPr>
          <w:p>
            <w:r>
              <w:t>Termination</w:t>
            </w:r>
          </w:p>
        </w:tc>
        <w:tc>
          <w:tcPr>
            <w:tcW w:type="dxa" w:w="1440"/>
          </w:tcPr>
          <w:p>
            <w:r>
              <w:t>Termination rights defined</w:t>
            </w:r>
          </w:p>
        </w:tc>
        <w:tc>
          <w:tcPr>
            <w:tcW w:type="dxa" w:w="1440"/>
          </w:tcPr>
          <w:p>
            <w:r>
              <w:t>Green</w:t>
            </w:r>
          </w:p>
        </w:tc>
        <w:tc>
          <w:tcPr>
            <w:tcW w:type="dxa" w:w="1440"/>
          </w:tcPr>
          <w:p>
            <w:r>
              <w:t>Financial exposure from tiered convenience termination fees</w:t>
            </w:r>
          </w:p>
        </w:tc>
        <w:tc>
          <w:tcPr>
            <w:tcW w:type="dxa" w:w="1440"/>
          </w:tcPr>
          <w:p>
            <w:r>
              <w:t>The clause mandates a sliding scale of payments up to 100 percent of the undelivered balance upon convenience cancellation. This creates significant financial liability and cash-flow risk for the Buyer based on the timing of the cancellation notice.</w:t>
            </w:r>
          </w:p>
        </w:tc>
        <w:tc>
          <w:tcPr>
            <w:tcW w:type="dxa" w:w="1440"/>
          </w:tcPr>
          <w:p>
            <w:r>
              <w:t>Reduce the percentage fees across all time tiers and cap total convenience termination payments at a fixed percentage of the total order value.</w:t>
            </w:r>
          </w:p>
        </w:tc>
      </w:tr>
      <w:tr>
        <w:tc>
          <w:tcPr>
            <w:tcW w:type="dxa" w:w="1440"/>
          </w:tcPr>
          <w:p>
            <w:r>
              <w:t>Termination</w:t>
            </w:r>
          </w:p>
        </w:tc>
        <w:tc>
          <w:tcPr>
            <w:tcW w:type="dxa" w:w="1440"/>
          </w:tcPr>
          <w:p>
            <w:r>
              <w:t>Cancellation fee structure defined</w:t>
            </w:r>
          </w:p>
        </w:tc>
        <w:tc>
          <w:tcPr>
            <w:tcW w:type="dxa" w:w="1440"/>
          </w:tcPr>
          <w:p>
            <w:r>
              <w:t>Green</w:t>
            </w:r>
          </w:p>
        </w:tc>
        <w:tc>
          <w:tcPr>
            <w:tcW w:type="dxa" w:w="1440"/>
          </w:tcPr>
          <w:p>
            <w:r>
              <w:t>Financial exposure due to aggressive cancellation fee scaling</w:t>
            </w:r>
          </w:p>
        </w:tc>
        <w:tc>
          <w:tcPr>
            <w:tcW w:type="dxa" w:w="1440"/>
          </w:tcPr>
          <w:p>
            <w:r>
              <w:t>The graduated fee structure creates significant financial liability for the Buyer, escalating rapidly from 7.5% to 100% of the order value based on time elapsed. The high percentages for mid-term cancellations create substantial cash-flow risk regardless of the Supplier's actual costs incurred.</w:t>
            </w:r>
          </w:p>
        </w:tc>
        <w:tc>
          <w:tcPr>
            <w:tcW w:type="dxa" w:w="1440"/>
          </w:tcPr>
          <w:p>
            <w:r>
              <w:t>Reduce the percentage fees across the schedule and implement a cap on total cancellation liability.</w:t>
            </w:r>
          </w:p>
        </w:tc>
      </w:tr>
      <w:tr>
        <w:tc>
          <w:tcPr>
            <w:tcW w:type="dxa" w:w="1440"/>
          </w:tcPr>
          <w:p>
            <w:r>
              <w:t>Termination</w:t>
            </w:r>
          </w:p>
        </w:tc>
        <w:tc>
          <w:tcPr>
            <w:tcW w:type="dxa" w:w="1440"/>
          </w:tcPr>
          <w:p>
            <w:r>
              <w:t>61-90 day cancellation fee 40%</w:t>
            </w:r>
          </w:p>
        </w:tc>
        <w:tc>
          <w:tcPr>
            <w:tcW w:type="dxa" w:w="1440"/>
          </w:tcPr>
          <w:p>
            <w:r>
              <w:t>Red</w:t>
            </w:r>
          </w:p>
        </w:tc>
        <w:tc>
          <w:tcPr>
            <w:tcW w:type="dxa" w:w="1440"/>
          </w:tcPr>
          <w:p>
            <w:r>
              <w:t>Financial exposure due to understated cancellation fee</w:t>
            </w:r>
          </w:p>
        </w:tc>
        <w:tc>
          <w:tcPr>
            <w:tcW w:type="dxa" w:w="1440"/>
          </w:tcPr>
          <w:p>
            <w:r>
              <w:t>The contract specifies a 38% cancellation fee for the 61-90 day window, which is lower than the required 40%. This creates a financial shortfall and non-compliance with the corporate procurement mandate regarding cost recovery during early termination.</w:t>
            </w:r>
          </w:p>
        </w:tc>
        <w:tc>
          <w:tcPr>
            <w:tcW w:type="dxa" w:w="1440"/>
          </w:tcPr>
          <w:p>
            <w:r>
              <w:t>Increase the cancellation fee for the 61-90 days window to 40 percent of the order value.</w:t>
            </w:r>
          </w:p>
        </w:tc>
      </w:tr>
      <w:tr>
        <w:tc>
          <w:tcPr>
            <w:tcW w:type="dxa" w:w="1440"/>
          </w:tcPr>
          <w:p>
            <w:r>
              <w:t>Suspension</w:t>
            </w:r>
          </w:p>
        </w:tc>
        <w:tc>
          <w:tcPr>
            <w:tcW w:type="dxa" w:w="1440"/>
          </w:tcPr>
          <w:p>
            <w:r>
              <w:t>Maximum 2 suspensions and 30 days aggregate</w:t>
            </w:r>
          </w:p>
        </w:tc>
        <w:tc>
          <w:tcPr>
            <w:tcW w:type="dxa" w:w="1440"/>
          </w:tcPr>
          <w:p>
            <w:r>
              <w:t>Amber</w:t>
            </w:r>
          </w:p>
        </w:tc>
        <w:tc>
          <w:tcPr>
            <w:tcW w:type="dxa" w:w="1440"/>
          </w:tcPr>
          <w:p>
            <w:r>
              <w:t>suspension risks and financial exposure</w:t>
            </w:r>
          </w:p>
        </w:tc>
        <w:tc>
          <w:tcPr>
            <w:tcW w:type="dxa" w:w="1440"/>
          </w:tcPr>
          <w:p>
            <w:r>
              <w:t>The exclusion of regulatory, government, legal, and safety stoppages from the suspension limit allows the Buyer to implement indefinite stoppages without triggering compensable change orders. This creates uncapped operational delays and financial burden for the Supplier regarding resource maintenance and standby costs.</w:t>
            </w:r>
          </w:p>
        </w:tc>
        <w:tc>
          <w:tcPr>
            <w:tcW w:type="dxa" w:w="1440"/>
          </w:tcPr>
          <w:p>
            <w:r>
              <w:t>Include regulatory, government, legal, and safety stoppages within the maximum two suspension and 30 day aggregate limit.</w:t>
            </w:r>
          </w:p>
        </w:tc>
      </w:tr>
      <w:tr>
        <w:tc>
          <w:tcPr>
            <w:tcW w:type="dxa" w:w="1440"/>
          </w:tcPr>
          <w:p>
            <w:r>
              <w:t>Suspension</w:t>
            </w:r>
          </w:p>
        </w:tc>
        <w:tc>
          <w:tcPr>
            <w:tcW w:type="dxa" w:w="1440"/>
          </w:tcPr>
          <w:p>
            <w:r>
              <w:t>Supplier obligations during suspension defined</w:t>
            </w:r>
          </w:p>
        </w:tc>
        <w:tc>
          <w:tcPr>
            <w:tcW w:type="dxa" w:w="1440"/>
          </w:tcPr>
          <w:p>
            <w:r>
              <w:t>Green</w:t>
            </w:r>
          </w:p>
        </w:tc>
        <w:tc>
          <w:tcPr>
            <w:tcW w:type="dxa" w:w="1440"/>
          </w:tcPr>
          <w:p>
            <w:r>
              <w:t>Suspension risks and operational constraints</w:t>
            </w:r>
          </w:p>
        </w:tc>
        <w:tc>
          <w:tcPr>
            <w:tcW w:type="dxa" w:w="1440"/>
          </w:tcPr>
          <w:p>
            <w:r>
              <w:t>The clause allows suspensions for commercial convenience and exempts regulatory, government, and safety stoppages from the limit. This creates uncertainty regarding total downtime and potential resource availability issues during restart, as the five day restart window is subject to material and resource availability.</w:t>
            </w:r>
          </w:p>
        </w:tc>
        <w:tc>
          <w:tcPr>
            <w:tcW w:type="dxa" w:w="1440"/>
          </w:tcPr>
          <w:p>
            <w:r>
              <w:t>Remove exclusions for regulatory and government holds from suspension limits and define objective criteria for material and resource availability during restart.</w:t>
            </w:r>
          </w:p>
        </w:tc>
      </w:tr>
      <w:tr>
        <w:tc>
          <w:tcPr>
            <w:tcW w:type="dxa" w:w="1440"/>
          </w:tcPr>
          <w:p>
            <w:r>
              <w:t>Governing Law</w:t>
            </w:r>
          </w:p>
        </w:tc>
        <w:tc>
          <w:tcPr>
            <w:tcW w:type="dxa" w:w="1440"/>
          </w:tcPr>
          <w:p>
            <w:r>
              <w:t>Applicable law specified</w:t>
            </w:r>
          </w:p>
        </w:tc>
        <w:tc>
          <w:tcPr>
            <w:tcW w:type="dxa" w:w="1440"/>
          </w:tcPr>
          <w:p>
            <w:r>
              <w:t>Amber</w:t>
            </w:r>
          </w:p>
        </w:tc>
        <w:tc>
          <w:tcPr>
            <w:tcW w:type="dxa" w:w="1440"/>
          </w:tcPr>
          <w:p>
            <w:r>
              <w:t>Legal exposure and arbitration limitations</w:t>
            </w:r>
          </w:p>
        </w:tc>
        <w:tc>
          <w:tcPr>
            <w:tcW w:type="dxa" w:w="1440"/>
          </w:tcPr>
          <w:p>
            <w:r>
              <w:t>The clause creates a fragmented dispute resolution framework. While Indian law governs, specific disputes are routed to Singapore arbitration, while others are carved out to Mumbai courts or technical experts. This split jurisdiction increases legal costs, complexity in enforcement, and risk of conflicting rulings across different forums.</w:t>
            </w:r>
          </w:p>
        </w:tc>
        <w:tc>
          <w:tcPr>
            <w:tcW w:type="dxa" w:w="1440"/>
          </w:tcPr>
          <w:p>
            <w:r>
              <w:t>Align governing law, venue, and arbitration seat to a single jurisdiction and remove carve-outs for specific dispute types.</w:t>
            </w:r>
          </w:p>
        </w:tc>
      </w:tr>
      <w:tr>
        <w:tc>
          <w:tcPr>
            <w:tcW w:type="dxa" w:w="1440"/>
          </w:tcPr>
          <w:p>
            <w:r>
              <w:t>Dispute Resolution</w:t>
            </w:r>
          </w:p>
        </w:tc>
        <w:tc>
          <w:tcPr>
            <w:tcW w:type="dxa" w:w="1440"/>
          </w:tcPr>
          <w:p>
            <w:r>
              <w:t>Arbitration mechanism defined</w:t>
            </w:r>
          </w:p>
        </w:tc>
        <w:tc>
          <w:tcPr>
            <w:tcW w:type="dxa" w:w="1440"/>
          </w:tcPr>
          <w:p>
            <w:r>
              <w:t>Green</w:t>
            </w:r>
          </w:p>
        </w:tc>
        <w:tc>
          <w:tcPr>
            <w:tcW w:type="dxa" w:w="1440"/>
          </w:tcPr>
          <w:p>
            <w:r>
              <w:t>Arbitration limitations</w:t>
            </w:r>
          </w:p>
        </w:tc>
        <w:tc>
          <w:tcPr>
            <w:tcW w:type="dxa" w:w="1440"/>
          </w:tcPr>
          <w:p>
            <w:r>
              <w:t>The clause mandates a conditional two-tier process where laboratory methodology disputes must first be referred to a technical expert in Mumbai. This dependency restricts immediate access to Singapore arbitration and introduces a procedural carve-out for technical disputes, creating potential delays and operational constraints in resolving conflicts.</w:t>
            </w:r>
          </w:p>
        </w:tc>
        <w:tc>
          <w:tcPr>
            <w:tcW w:type="dxa" w:w="1440"/>
          </w:tcPr>
          <w:p>
            <w:r>
              <w:t>Remove the requirement for technical expert referral and provide direct access to Singapore arbitration for all disputes including laboratory test methodology.</w:t>
            </w:r>
          </w:p>
        </w:tc>
      </w:tr>
      <w:tr>
        <w:tc>
          <w:tcPr>
            <w:tcW w:type="dxa" w:w="1440"/>
          </w:tcPr>
          <w:p>
            <w:r>
              <w:t>Dispute Resolution</w:t>
            </w:r>
          </w:p>
        </w:tc>
        <w:tc>
          <w:tcPr>
            <w:tcW w:type="dxa" w:w="1440"/>
          </w:tcPr>
          <w:p>
            <w:r>
              <w:t>Seat of arbitration specified</w:t>
            </w:r>
          </w:p>
        </w:tc>
        <w:tc>
          <w:tcPr>
            <w:tcW w:type="dxa" w:w="1440"/>
          </w:tcPr>
          <w:p>
            <w:r>
              <w:t>Green</w:t>
            </w:r>
          </w:p>
        </w:tc>
        <w:tc>
          <w:tcPr>
            <w:tcW w:type="dxa" w:w="1440"/>
          </w:tcPr>
          <w:p>
            <w:r>
              <w:t>Arbitration limitations and legal exposure</w:t>
            </w:r>
          </w:p>
        </w:tc>
        <w:tc>
          <w:tcPr>
            <w:tcW w:type="dxa" w:w="1440"/>
          </w:tcPr>
          <w:p>
            <w:r>
              <w:t>The clause introduces a conditional dependency by requiring a technical expert referral in Mumbai before proceeding to Singapore arbitration for laboratory disputes. This tiered process creates a carve-out from direct arbitration, potentially delaying legal resolution and increasing operational costs through multi-stage dispute procedures.</w:t>
            </w:r>
          </w:p>
        </w:tc>
        <w:tc>
          <w:tcPr>
            <w:tcW w:type="dxa" w:w="1440"/>
          </w:tcPr>
          <w:p>
            <w:r>
              <w:t>Remove the requirement for technical expert referral in Mumbai and mandate that all disputes proceed directly to Singapore arbitration.</w:t>
            </w:r>
          </w:p>
        </w:tc>
      </w:tr>
      <w:tr>
        <w:tc>
          <w:tcPr>
            <w:tcW w:type="dxa" w:w="1440"/>
          </w:tcPr>
          <w:p>
            <w:r>
              <w:t>Liability</w:t>
            </w:r>
          </w:p>
        </w:tc>
        <w:tc>
          <w:tcPr>
            <w:tcW w:type="dxa" w:w="1440"/>
          </w:tcPr>
          <w:p>
            <w:r>
              <w:t>Liability carve-outs defined</w:t>
            </w:r>
          </w:p>
        </w:tc>
        <w:tc>
          <w:tcPr>
            <w:tcW w:type="dxa" w:w="1440"/>
          </w:tcPr>
          <w:p>
            <w:r>
              <w:t>Amber</w:t>
            </w:r>
          </w:p>
        </w:tc>
        <w:tc>
          <w:tcPr>
            <w:tcW w:type="dxa" w:w="1440"/>
          </w:tcPr>
          <w:p>
            <w:r>
              <w:t>Financial liability exposure</w:t>
            </w:r>
          </w:p>
        </w:tc>
        <w:tc>
          <w:tcPr>
            <w:tcW w:type="dxa" w:w="1440"/>
          </w:tcPr>
          <w:p>
            <w:r>
              <w:t>The defect liability cap is bypassed for emergency removal, re-installation, and site stabilization costs during safety shutdowns. This carve-out creates uncapped financial exposure for these specific direct damages, exceeding the 10 percent PO value limit.</w:t>
            </w:r>
          </w:p>
        </w:tc>
        <w:tc>
          <w:tcPr>
            <w:tcW w:type="dxa" w:w="1440"/>
          </w:tcPr>
          <w:p>
            <w:r>
              <w:t>Remove carve-outs for emergency costs and subject all defect liability to a single aggregate cap of 10 percent of PO value.</w:t>
            </w:r>
          </w:p>
        </w:tc>
      </w:tr>
      <w:tr>
        <w:tc>
          <w:tcPr>
            <w:tcW w:type="dxa" w:w="1440"/>
          </w:tcPr>
          <w:p>
            <w:r>
              <w:t>Consequential Damages</w:t>
            </w:r>
          </w:p>
        </w:tc>
        <w:tc>
          <w:tcPr>
            <w:tcW w:type="dxa" w:w="1440"/>
          </w:tcPr>
          <w:p>
            <w:r>
              <w:t>Consequential damages excluded</w:t>
            </w:r>
          </w:p>
        </w:tc>
        <w:tc>
          <w:tcPr>
            <w:tcW w:type="dxa" w:w="1440"/>
          </w:tcPr>
          <w:p>
            <w:r>
              <w:t>Amber</w:t>
            </w:r>
          </w:p>
        </w:tc>
        <w:tc>
          <w:tcPr>
            <w:tcW w:type="dxa" w:w="1440"/>
          </w:tcPr>
          <w:p>
            <w:r>
              <w:t>Uncapped liability exposure for specific carve-out events</w:t>
            </w:r>
          </w:p>
        </w:tc>
        <w:tc>
          <w:tcPr>
            <w:tcW w:type="dxa" w:w="1440"/>
          </w:tcPr>
          <w:p>
            <w:r>
              <w:t>Article 00511.15.2 creates broad exceptions to the consequential damages waiver, including confidentiality breaches, indemnity, IP infringement, fraud, and gross negligence. This exposes the organization to unpredictable financial losses and indirect damages that exceed the standard liability protections, as these specific triggers bypass the exclusion of consequential damages.</w:t>
            </w:r>
          </w:p>
        </w:tc>
        <w:tc>
          <w:tcPr>
            <w:tcW w:type="dxa" w:w="1440"/>
          </w:tcPr>
          <w:p>
            <w:r>
              <w:t>Remove exceptions to the consequential damages waiver or subject all carve-outs to a defined aggregate liability cap.</w:t>
            </w:r>
          </w:p>
        </w:tc>
      </w:tr>
      <w:tr>
        <w:tc>
          <w:tcPr>
            <w:tcW w:type="dxa" w:w="1440"/>
          </w:tcPr>
          <w:p>
            <w:r>
              <w:t>Consequential Damages</w:t>
            </w:r>
          </w:p>
        </w:tc>
        <w:tc>
          <w:tcPr>
            <w:tcW w:type="dxa" w:w="1440"/>
          </w:tcPr>
          <w:p>
            <w:r>
              <w:t>Exceptions to exclusion defined</w:t>
            </w:r>
          </w:p>
        </w:tc>
        <w:tc>
          <w:tcPr>
            <w:tcW w:type="dxa" w:w="1440"/>
          </w:tcPr>
          <w:p>
            <w:r>
              <w:t>Amber</w:t>
            </w:r>
          </w:p>
        </w:tc>
        <w:tc>
          <w:tcPr>
            <w:tcW w:type="dxa" w:w="1440"/>
          </w:tcPr>
          <w:p>
            <w:r>
              <w:t>Liability exposure</w:t>
            </w:r>
          </w:p>
        </w:tc>
        <w:tc>
          <w:tcPr>
            <w:tcW w:type="dxa" w:w="1440"/>
          </w:tcPr>
          <w:p>
            <w:r>
              <w:t>The exclusion of consequential damages is partially met because it contains multiple carve-outs. Liability for confidentiality breaches, indemnity, intellectual property infringement, fraud, gross negligence, willful misconduct, bank-guarantee claims, liquidated damages, and safety shutdown costs remains uncapped or applicable, creating significant financial and legal exposure beyond the general waiver.</w:t>
            </w:r>
          </w:p>
        </w:tc>
        <w:tc>
          <w:tcPr>
            <w:tcW w:type="dxa" w:w="1440"/>
          </w:tcPr>
          <w:p>
            <w:r>
              <w:t>Remove exceptions to the consequential damages waiver or limit the scope of carve-outs to only willful misconduct and fraud.</w:t>
            </w:r>
          </w:p>
        </w:tc>
      </w:tr>
    </w:tbl>
    <w:p>
      <w:r>
        <w:br w:type="page"/>
      </w:r>
    </w:p>
    <w:p>
      <w:pPr>
        <w:pStyle w:val="Heading2"/>
      </w:pPr>
      <w:r>
        <w:t>Table 3 - Mitigation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Clause</w:t>
            </w:r>
          </w:p>
        </w:tc>
        <w:tc>
          <w:tcPr>
            <w:tcW w:type="dxa" w:w="2880"/>
          </w:tcPr>
          <w:p>
            <w:r>
              <w:t>Risk</w:t>
            </w:r>
          </w:p>
        </w:tc>
        <w:tc>
          <w:tcPr>
            <w:tcW w:type="dxa" w:w="2880"/>
          </w:tcPr>
          <w:p>
            <w:r>
              <w:t>Mitigation Recommendation</w:t>
            </w:r>
          </w:p>
        </w:tc>
      </w:tr>
      <w:tr>
        <w:tc>
          <w:tcPr>
            <w:tcW w:type="dxa" w:w="2880"/>
          </w:tcPr>
          <w:p>
            <w:r>
              <w:t>Payment Terms</w:t>
            </w:r>
          </w:p>
        </w:tc>
        <w:tc>
          <w:tcPr>
            <w:tcW w:type="dxa" w:w="2880"/>
          </w:tcPr>
          <w:p>
            <w:r>
              <w:t>45% Minimum Advance</w:t>
            </w:r>
          </w:p>
        </w:tc>
        <w:tc>
          <w:tcPr>
            <w:tcW w:type="dxa" w:w="2880"/>
          </w:tcPr>
          <w:p>
            <w:r>
              <w:t>Ensure the full 45% advance is payable as a single lump sum upon PO acknowledgement and submission of Annex B documents.</w:t>
            </w:r>
          </w:p>
        </w:tc>
      </w:tr>
      <w:tr>
        <w:tc>
          <w:tcPr>
            <w:tcW w:type="dxa" w:w="2880"/>
          </w:tcPr>
          <w:p>
            <w:r>
              <w:t>Payment Terms</w:t>
            </w:r>
          </w:p>
        </w:tc>
        <w:tc>
          <w:tcPr>
            <w:tcW w:type="dxa" w:w="2880"/>
          </w:tcPr>
          <w:p>
            <w:r>
              <w:t>All payments Net 30 days from invoice</w:t>
            </w:r>
          </w:p>
        </w:tc>
        <w:tc>
          <w:tcPr>
            <w:tcW w:type="dxa" w:w="2880"/>
          </w:tcPr>
          <w:p>
            <w:r>
              <w:t>Set payment as Net 30 days from invoice receipt and remove dependencies on internal acceptance records to trigger the payment clock.</w:t>
            </w:r>
          </w:p>
        </w:tc>
      </w:tr>
      <w:tr>
        <w:tc>
          <w:tcPr>
            <w:tcW w:type="dxa" w:w="2880"/>
          </w:tcPr>
          <w:p>
            <w:r>
              <w:t>Bank Guarantees</w:t>
            </w:r>
          </w:p>
        </w:tc>
        <w:tc>
          <w:tcPr>
            <w:tcW w:type="dxa" w:w="2880"/>
          </w:tcPr>
          <w:p>
            <w:r>
              <w:t>Performance Guarantee not exceeding 10%</w:t>
            </w:r>
          </w:p>
        </w:tc>
        <w:tc>
          <w:tcPr>
            <w:tcW w:type="dxa" w:w="2880"/>
          </w:tcPr>
          <w:p>
            <w:r>
              <w:t>Reduce total performance security to a maximum of 10 percent including bridge guarantees.</w:t>
            </w:r>
          </w:p>
        </w:tc>
      </w:tr>
      <w:tr>
        <w:tc>
          <w:tcPr>
            <w:tcW w:type="dxa" w:w="2880"/>
          </w:tcPr>
          <w:p>
            <w:r>
              <w:t>Liquidated Damages</w:t>
            </w:r>
          </w:p>
        </w:tc>
        <w:tc>
          <w:tcPr>
            <w:tcW w:type="dxa" w:w="2880"/>
          </w:tcPr>
          <w:p>
            <w:r>
              <w:t>Documentation LD not applicable</w:t>
            </w:r>
          </w:p>
        </w:tc>
        <w:tc>
          <w:tcPr>
            <w:tcW w:type="dxa" w:w="2880"/>
          </w:tcPr>
          <w:p>
            <w:r>
              <w:t>Remove documentation LD exclusions and increase the aggregate delay exposure cap beyond 7.5 percent of the total Purchase Order value.</w:t>
            </w:r>
          </w:p>
        </w:tc>
      </w:tr>
      <w:tr>
        <w:tc>
          <w:tcPr>
            <w:tcW w:type="dxa" w:w="2880"/>
          </w:tcPr>
          <w:p>
            <w:r>
              <w:t>Liquidated Damages</w:t>
            </w:r>
          </w:p>
        </w:tc>
        <w:tc>
          <w:tcPr>
            <w:tcW w:type="dxa" w:w="2880"/>
          </w:tcPr>
          <w:p>
            <w:r>
              <w:t>Equipment Delivery LD 0.5% per week</w:t>
            </w:r>
          </w:p>
        </w:tc>
        <w:tc>
          <w:tcPr>
            <w:tcW w:type="dxa" w:w="2880"/>
          </w:tcPr>
          <w:p>
            <w:r>
              <w:t>Remove the 5 percent individual equipment cap and increase the aggregate delivery LD cap to align with expected project risk exposure.</w:t>
            </w:r>
          </w:p>
        </w:tc>
      </w:tr>
      <w:tr>
        <w:tc>
          <w:tcPr>
            <w:tcW w:type="dxa" w:w="2880"/>
          </w:tcPr>
          <w:p>
            <w:r>
              <w:t>Liquidated Damages</w:t>
            </w:r>
          </w:p>
        </w:tc>
        <w:tc>
          <w:tcPr>
            <w:tcW w:type="dxa" w:w="2880"/>
          </w:tcPr>
          <w:p>
            <w:r>
              <w:t>Equipment Delivery LD capped at 5%</w:t>
            </w:r>
          </w:p>
        </w:tc>
        <w:tc>
          <w:tcPr>
            <w:tcW w:type="dxa" w:w="2880"/>
          </w:tcPr>
          <w:p>
            <w:r>
              <w:t>Reduce the aggregate delay exposure cap for Delivery LD and service credits to a maximum of 5 percent of the total Purchase Order value.</w:t>
            </w:r>
          </w:p>
        </w:tc>
      </w:tr>
      <w:tr>
        <w:tc>
          <w:tcPr>
            <w:tcW w:type="dxa" w:w="2880"/>
          </w:tcPr>
          <w:p>
            <w:r>
              <w:t>Liquidated Damages</w:t>
            </w:r>
          </w:p>
        </w:tc>
        <w:tc>
          <w:tcPr>
            <w:tcW w:type="dxa" w:w="2880"/>
          </w:tcPr>
          <w:p>
            <w:r>
              <w:t>Aggregate LD capped at 5% PO value</w:t>
            </w:r>
          </w:p>
        </w:tc>
        <w:tc>
          <w:tcPr>
            <w:tcW w:type="dxa" w:w="2880"/>
          </w:tcPr>
          <w:p>
            <w:r>
              <w:t>Reduce aggregate LD and service-credit exposure to a maximum of 5 percent of total PO value.</w:t>
            </w:r>
          </w:p>
        </w:tc>
      </w:tr>
      <w:tr>
        <w:tc>
          <w:tcPr>
            <w:tcW w:type="dxa" w:w="2880"/>
          </w:tcPr>
          <w:p>
            <w:r>
              <w:t>Liquidated Damages</w:t>
            </w:r>
          </w:p>
        </w:tc>
        <w:tc>
          <w:tcPr>
            <w:tcW w:type="dxa" w:w="2880"/>
          </w:tcPr>
          <w:p>
            <w:r>
              <w:t>Remedial Work LD not applicable</w:t>
            </w:r>
          </w:p>
        </w:tc>
        <w:tc>
          <w:tcPr>
            <w:tcW w:type="dxa" w:w="2880"/>
          </w:tcPr>
          <w:p>
            <w:r>
              <w:t>Implement liquidated damages for delays in completing remedial work, warranty repairs, and replacements.</w:t>
            </w:r>
          </w:p>
        </w:tc>
      </w:tr>
      <w:tr>
        <w:tc>
          <w:tcPr>
            <w:tcW w:type="dxa" w:w="2880"/>
          </w:tcPr>
          <w:p>
            <w:r>
              <w:t>Guarantee</w:t>
            </w:r>
          </w:p>
        </w:tc>
        <w:tc>
          <w:tcPr>
            <w:tcW w:type="dxa" w:w="2880"/>
          </w:tcPr>
          <w:p>
            <w:r>
              <w:t>Warranty period defined</w:t>
            </w:r>
          </w:p>
        </w:tc>
        <w:tc>
          <w:tcPr>
            <w:tcW w:type="dxa" w:w="2880"/>
          </w:tcPr>
          <w:p>
            <w:r>
              <w:t>Extend standard guarantee to twelve months from commissioning and ensure remedial guarantees provide full twelve month coverage regardless of original dispatch date.</w:t>
            </w:r>
          </w:p>
        </w:tc>
      </w:tr>
      <w:tr>
        <w:tc>
          <w:tcPr>
            <w:tcW w:type="dxa" w:w="2880"/>
          </w:tcPr>
          <w:p>
            <w:r>
              <w:t>Guarantee</w:t>
            </w:r>
          </w:p>
        </w:tc>
        <w:tc>
          <w:tcPr>
            <w:tcW w:type="dxa" w:w="2880"/>
          </w:tcPr>
          <w:p>
            <w:r>
              <w:t>2 months from commissioning or 18 months from dispatch</w:t>
            </w:r>
          </w:p>
        </w:tc>
        <w:tc>
          <w:tcPr>
            <w:tcW w:type="dxa" w:w="2880"/>
          </w:tcPr>
          <w:p>
            <w:r>
              <w:t>Ensure repaired or replaced components are guaranteed for 12 months from completion of repair regardless of the original dispatch date.</w:t>
            </w:r>
          </w:p>
        </w:tc>
      </w:tr>
      <w:tr>
        <w:tc>
          <w:tcPr>
            <w:tcW w:type="dxa" w:w="2880"/>
          </w:tcPr>
          <w:p>
            <w:r>
              <w:t>Guarantee</w:t>
            </w:r>
          </w:p>
        </w:tc>
        <w:tc>
          <w:tcPr>
            <w:tcW w:type="dxa" w:w="2880"/>
          </w:tcPr>
          <w:p>
            <w:r>
              <w:t>Repair/replacement warranty obligations defined</w:t>
            </w:r>
          </w:p>
        </w:tc>
        <w:tc>
          <w:tcPr>
            <w:tcW w:type="dxa" w:w="2880"/>
          </w:tcPr>
          <w:p>
            <w:r>
              <w:t>Provide a full twelve month guarantee for all repaired or replaced components from the date of completion without a cap tied to the original dispatch date.</w:t>
            </w:r>
          </w:p>
        </w:tc>
      </w:tr>
      <w:tr>
        <w:tc>
          <w:tcPr>
            <w:tcW w:type="dxa" w:w="2880"/>
          </w:tcPr>
          <w:p>
            <w:r>
              <w:t>Force Majeure</w:t>
            </w:r>
          </w:p>
        </w:tc>
        <w:tc>
          <w:tcPr>
            <w:tcW w:type="dxa" w:w="2880"/>
          </w:tcPr>
          <w:p>
            <w:r>
              <w:t>Force majeure events defined</w:t>
            </w:r>
          </w:p>
        </w:tc>
        <w:tc>
          <w:tcPr>
            <w:tcW w:type="dxa" w:w="2880"/>
          </w:tcPr>
          <w:p>
            <w:r>
              <w:t>Extend force majeure relief to include all reasonably foreseeable sub-suppliers and subcontractors regardless of their designation in Annex D.</w:t>
            </w:r>
          </w:p>
        </w:tc>
      </w:tr>
      <w:tr>
        <w:tc>
          <w:tcPr>
            <w:tcW w:type="dxa" w:w="2880"/>
          </w:tcPr>
          <w:p>
            <w:r>
              <w:t>Force Majeure</w:t>
            </w:r>
          </w:p>
        </w:tc>
        <w:tc>
          <w:tcPr>
            <w:tcW w:type="dxa" w:w="2880"/>
          </w:tcPr>
          <w:p>
            <w:r>
              <w:t>Applies to subcontractors</w:t>
            </w:r>
          </w:p>
        </w:tc>
        <w:tc>
          <w:tcPr>
            <w:tcW w:type="dxa" w:w="2880"/>
          </w:tcPr>
          <w:p>
            <w:r>
              <w:t>Extend force majeure relief to all subcontractors and vendors regardless of their Tier status or inclusion in Annex D.</w:t>
            </w:r>
          </w:p>
        </w:tc>
      </w:tr>
      <w:tr>
        <w:tc>
          <w:tcPr>
            <w:tcW w:type="dxa" w:w="2880"/>
          </w:tcPr>
          <w:p>
            <w:r>
              <w:t>Force Majeure</w:t>
            </w:r>
          </w:p>
        </w:tc>
        <w:tc>
          <w:tcPr>
            <w:tcW w:type="dxa" w:w="2880"/>
          </w:tcPr>
          <w:p>
            <w:r>
              <w:t>Notice obligations defined</w:t>
            </w:r>
          </w:p>
        </w:tc>
        <w:tc>
          <w:tcPr>
            <w:tcW w:type="dxa" w:w="2880"/>
          </w:tcPr>
          <w:p>
            <w:r>
              <w:t>Extend force majeure relief to all approved subcontractors and logistics providers regardless of their classification in Annex D.</w:t>
            </w:r>
          </w:p>
        </w:tc>
      </w:tr>
      <w:tr>
        <w:tc>
          <w:tcPr>
            <w:tcW w:type="dxa" w:w="2880"/>
          </w:tcPr>
          <w:p>
            <w:r>
              <w:t>Termination</w:t>
            </w:r>
          </w:p>
        </w:tc>
        <w:tc>
          <w:tcPr>
            <w:tcW w:type="dxa" w:w="2880"/>
          </w:tcPr>
          <w:p>
            <w:r>
              <w:t>Termination rights defined</w:t>
            </w:r>
          </w:p>
        </w:tc>
        <w:tc>
          <w:tcPr>
            <w:tcW w:type="dxa" w:w="2880"/>
          </w:tcPr>
          <w:p>
            <w:r>
              <w:t>Reduce the percentage fees across all time tiers and cap total convenience termination payments at a fixed percentage of the total order value.</w:t>
            </w:r>
          </w:p>
        </w:tc>
      </w:tr>
      <w:tr>
        <w:tc>
          <w:tcPr>
            <w:tcW w:type="dxa" w:w="2880"/>
          </w:tcPr>
          <w:p>
            <w:r>
              <w:t>Termination</w:t>
            </w:r>
          </w:p>
        </w:tc>
        <w:tc>
          <w:tcPr>
            <w:tcW w:type="dxa" w:w="2880"/>
          </w:tcPr>
          <w:p>
            <w:r>
              <w:t>Cancellation fee structure defined</w:t>
            </w:r>
          </w:p>
        </w:tc>
        <w:tc>
          <w:tcPr>
            <w:tcW w:type="dxa" w:w="2880"/>
          </w:tcPr>
          <w:p>
            <w:r>
              <w:t>Reduce the percentage fees across the schedule and implement a cap on total cancellation liability.</w:t>
            </w:r>
          </w:p>
        </w:tc>
      </w:tr>
      <w:tr>
        <w:tc>
          <w:tcPr>
            <w:tcW w:type="dxa" w:w="2880"/>
          </w:tcPr>
          <w:p>
            <w:r>
              <w:t>Termination</w:t>
            </w:r>
          </w:p>
        </w:tc>
        <w:tc>
          <w:tcPr>
            <w:tcW w:type="dxa" w:w="2880"/>
          </w:tcPr>
          <w:p>
            <w:r>
              <w:t>61-90 day cancellation fee 40%</w:t>
            </w:r>
          </w:p>
        </w:tc>
        <w:tc>
          <w:tcPr>
            <w:tcW w:type="dxa" w:w="2880"/>
          </w:tcPr>
          <w:p>
            <w:r>
              <w:t>Increase the cancellation fee for the 61-90 days window to 40 percent of the order value.</w:t>
            </w:r>
          </w:p>
        </w:tc>
      </w:tr>
      <w:tr>
        <w:tc>
          <w:tcPr>
            <w:tcW w:type="dxa" w:w="2880"/>
          </w:tcPr>
          <w:p>
            <w:r>
              <w:t>Suspension</w:t>
            </w:r>
          </w:p>
        </w:tc>
        <w:tc>
          <w:tcPr>
            <w:tcW w:type="dxa" w:w="2880"/>
          </w:tcPr>
          <w:p>
            <w:r>
              <w:t>Maximum 2 suspensions and 30 days aggregate</w:t>
            </w:r>
          </w:p>
        </w:tc>
        <w:tc>
          <w:tcPr>
            <w:tcW w:type="dxa" w:w="2880"/>
          </w:tcPr>
          <w:p>
            <w:r>
              <w:t>Include regulatory, government, legal, and safety stoppages within the maximum two suspension and 30 day aggregate limit.</w:t>
            </w:r>
          </w:p>
        </w:tc>
      </w:tr>
      <w:tr>
        <w:tc>
          <w:tcPr>
            <w:tcW w:type="dxa" w:w="2880"/>
          </w:tcPr>
          <w:p>
            <w:r>
              <w:t>Suspension</w:t>
            </w:r>
          </w:p>
        </w:tc>
        <w:tc>
          <w:tcPr>
            <w:tcW w:type="dxa" w:w="2880"/>
          </w:tcPr>
          <w:p>
            <w:r>
              <w:t>Supplier obligations during suspension defined</w:t>
            </w:r>
          </w:p>
        </w:tc>
        <w:tc>
          <w:tcPr>
            <w:tcW w:type="dxa" w:w="2880"/>
          </w:tcPr>
          <w:p>
            <w:r>
              <w:t>Remove exclusions for regulatory and government holds from suspension limits and define objective criteria for material and resource availability during restart.</w:t>
            </w:r>
          </w:p>
        </w:tc>
      </w:tr>
      <w:tr>
        <w:tc>
          <w:tcPr>
            <w:tcW w:type="dxa" w:w="2880"/>
          </w:tcPr>
          <w:p>
            <w:r>
              <w:t>Governing Law</w:t>
            </w:r>
          </w:p>
        </w:tc>
        <w:tc>
          <w:tcPr>
            <w:tcW w:type="dxa" w:w="2880"/>
          </w:tcPr>
          <w:p>
            <w:r>
              <w:t>Applicable law specified</w:t>
            </w:r>
          </w:p>
        </w:tc>
        <w:tc>
          <w:tcPr>
            <w:tcW w:type="dxa" w:w="2880"/>
          </w:tcPr>
          <w:p>
            <w:r>
              <w:t>Align governing law, venue, and arbitration seat to a single jurisdiction and remove carve-outs for specific dispute types.</w:t>
            </w:r>
          </w:p>
        </w:tc>
      </w:tr>
      <w:tr>
        <w:tc>
          <w:tcPr>
            <w:tcW w:type="dxa" w:w="2880"/>
          </w:tcPr>
          <w:p>
            <w:r>
              <w:t>Dispute Resolution</w:t>
            </w:r>
          </w:p>
        </w:tc>
        <w:tc>
          <w:tcPr>
            <w:tcW w:type="dxa" w:w="2880"/>
          </w:tcPr>
          <w:p>
            <w:r>
              <w:t>Arbitration mechanism defined</w:t>
            </w:r>
          </w:p>
        </w:tc>
        <w:tc>
          <w:tcPr>
            <w:tcW w:type="dxa" w:w="2880"/>
          </w:tcPr>
          <w:p>
            <w:r>
              <w:t>Remove the requirement for technical expert referral and provide direct access to Singapore arbitration for all disputes including laboratory test methodology.</w:t>
            </w:r>
          </w:p>
        </w:tc>
      </w:tr>
      <w:tr>
        <w:tc>
          <w:tcPr>
            <w:tcW w:type="dxa" w:w="2880"/>
          </w:tcPr>
          <w:p>
            <w:r>
              <w:t>Dispute Resolution</w:t>
            </w:r>
          </w:p>
        </w:tc>
        <w:tc>
          <w:tcPr>
            <w:tcW w:type="dxa" w:w="2880"/>
          </w:tcPr>
          <w:p>
            <w:r>
              <w:t>Seat of arbitration specified</w:t>
            </w:r>
          </w:p>
        </w:tc>
        <w:tc>
          <w:tcPr>
            <w:tcW w:type="dxa" w:w="2880"/>
          </w:tcPr>
          <w:p>
            <w:r>
              <w:t>Remove the requirement for technical expert referral in Mumbai and mandate that all disputes proceed directly to Singapore arbitration.</w:t>
            </w:r>
          </w:p>
        </w:tc>
      </w:tr>
      <w:tr>
        <w:tc>
          <w:tcPr>
            <w:tcW w:type="dxa" w:w="2880"/>
          </w:tcPr>
          <w:p>
            <w:r>
              <w:t>Liability</w:t>
            </w:r>
          </w:p>
        </w:tc>
        <w:tc>
          <w:tcPr>
            <w:tcW w:type="dxa" w:w="2880"/>
          </w:tcPr>
          <w:p>
            <w:r>
              <w:t>Liability carve-outs defined</w:t>
            </w:r>
          </w:p>
        </w:tc>
        <w:tc>
          <w:tcPr>
            <w:tcW w:type="dxa" w:w="2880"/>
          </w:tcPr>
          <w:p>
            <w:r>
              <w:t>Remove carve-outs for emergency costs and subject all defect liability to a single aggregate cap of 10 percent of PO value.</w:t>
            </w:r>
          </w:p>
        </w:tc>
      </w:tr>
      <w:tr>
        <w:tc>
          <w:tcPr>
            <w:tcW w:type="dxa" w:w="2880"/>
          </w:tcPr>
          <w:p>
            <w:r>
              <w:t>Consequential Damages</w:t>
            </w:r>
          </w:p>
        </w:tc>
        <w:tc>
          <w:tcPr>
            <w:tcW w:type="dxa" w:w="2880"/>
          </w:tcPr>
          <w:p>
            <w:r>
              <w:t>Consequential damages excluded</w:t>
            </w:r>
          </w:p>
        </w:tc>
        <w:tc>
          <w:tcPr>
            <w:tcW w:type="dxa" w:w="2880"/>
          </w:tcPr>
          <w:p>
            <w:r>
              <w:t>Remove exceptions to the consequential damages waiver or subject all carve-outs to a defined aggregate liability cap.</w:t>
            </w:r>
          </w:p>
        </w:tc>
      </w:tr>
      <w:tr>
        <w:tc>
          <w:tcPr>
            <w:tcW w:type="dxa" w:w="2880"/>
          </w:tcPr>
          <w:p>
            <w:r>
              <w:t>Consequential Damages</w:t>
            </w:r>
          </w:p>
        </w:tc>
        <w:tc>
          <w:tcPr>
            <w:tcW w:type="dxa" w:w="2880"/>
          </w:tcPr>
          <w:p>
            <w:r>
              <w:t>Exceptions to exclusion defined</w:t>
            </w:r>
          </w:p>
        </w:tc>
        <w:tc>
          <w:tcPr>
            <w:tcW w:type="dxa" w:w="2880"/>
          </w:tcPr>
          <w:p>
            <w:r>
              <w:t>Remove exceptions to the consequential damages waiver or limit the scope of carve-outs to only willful misconduct and fraud.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