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Enterprise Contract Analysis Report</w:t>
      </w:r>
    </w:p>
    <w:p>
      <w:pPr>
        <w:pStyle w:val="Heading2"/>
      </w:pPr>
      <w:r>
        <w:t>Executive Summary</w:t>
      </w:r>
    </w:p>
    <w:p>
      <w:r>
        <w:t>Overall Risk Rating: High Risk</w:t>
      </w:r>
    </w:p>
    <w:p>
      <w:r>
        <w:t>3 high-risk contractual deviations were identified. 17 medium-risk findings require attention. 3 requirements were not met. 17 requirements were only partially satisfied.</w:t>
      </w:r>
    </w:p>
    <w:p>
      <w:pPr>
        <w:pStyle w:val="Heading3"/>
      </w:pPr>
      <w:r>
        <w:t>Key Findings</w:t>
      </w:r>
    </w:p>
    <w:p>
      <w:pPr>
        <w:pStyle w:val="ListBullet"/>
      </w:pPr>
      <w:r>
        <w:t>Delayed payment due to conditional advance tranche release.</w:t>
      </w:r>
    </w:p>
    <w:p>
      <w:pPr>
        <w:pStyle w:val="ListBullet"/>
      </w:pPr>
      <w:r>
        <w:t>Increased total performance security exposure exceeding 10%.</w:t>
      </w:r>
    </w:p>
    <w:p>
      <w:pPr>
        <w:pStyle w:val="ListBullet"/>
      </w:pPr>
      <w:r>
        <w:t>Potential for significant liquidated damages exposure due to limitations.</w:t>
      </w:r>
    </w:p>
    <w:p>
      <w:pPr>
        <w:pStyle w:val="ListBullet"/>
      </w:pPr>
      <w:r>
        <w:t>Supplier may avoid liquidated damages exceeding 7.5% of PO value.</w:t>
      </w:r>
    </w:p>
    <w:p>
      <w:pPr>
        <w:pStyle w:val="ListBullet"/>
      </w:pPr>
      <w:r>
        <w:t>Potential for increased liquidated damages exposure due to aggregate cap.</w:t>
      </w:r>
    </w:p>
    <w:p>
      <w:pPr>
        <w:pStyle w:val="Heading3"/>
      </w:pPr>
      <w:r>
        <w:t>Recommendation</w:t>
      </w:r>
    </w:p>
    <w:p>
      <w:r>
        <w:t>Contract should undergo detailed legal and commercial review before execution.</w:t>
      </w:r>
    </w:p>
    <w:p>
      <w:r>
        <w:br w:type="page"/>
      </w:r>
    </w:p>
    <w:p>
      <w:pPr>
        <w:pStyle w:val="Heading2"/>
      </w:pPr>
      <w:r>
        <w:t>Table 1 - Compliance Analysis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Clause</w:t>
            </w:r>
          </w:p>
        </w:tc>
        <w:tc>
          <w:tcPr>
            <w:tcW w:type="dxa" w:w="2160"/>
          </w:tcPr>
          <w:p>
            <w:r>
              <w:t>Requirement</w:t>
            </w:r>
          </w:p>
        </w:tc>
        <w:tc>
          <w:tcPr>
            <w:tcW w:type="dxa" w:w="2160"/>
          </w:tcPr>
          <w:p>
            <w:r>
              <w:t>Summary of Key Details</w:t>
            </w:r>
          </w:p>
        </w:tc>
        <w:tc>
          <w:tcPr>
            <w:tcW w:type="dxa" w:w="2160"/>
          </w:tcPr>
          <w:p>
            <w:r>
              <w:t>Evidence</w:t>
            </w:r>
          </w:p>
        </w:tc>
      </w:tr>
      <w:tr>
        <w:tc>
          <w:tcPr>
            <w:tcW w:type="dxa" w:w="2160"/>
          </w:tcPr>
          <w:p>
            <w:r>
              <w:t>Payment Terms</w:t>
            </w:r>
          </w:p>
        </w:tc>
        <w:tc>
          <w:tcPr>
            <w:tcW w:type="dxa" w:w="2160"/>
          </w:tcPr>
          <w:p>
            <w:r>
              <w:t>45% Minimum Advance</w:t>
            </w:r>
          </w:p>
        </w:tc>
        <w:tc>
          <w:tcPr>
            <w:tcW w:type="dxa" w:w="2160"/>
          </w:tcPr>
          <w:p>
            <w:r>
              <w:t>Subject to Supplier acknowledging the Purchase Order and furnishing the documents listed in Annex B, Buyer shall arrange an advance equal to forty-five percent (45%) of the Purchase Order value. Thirty percent (30%) is payable within five (5) business days after PO acknowledgement. The remaining fifteen percent (15%) is payable only after Buyer receives the performance bank guarantee, the project kick-off minutes signed by both parties, and the first document submission register</w:t>
            </w:r>
          </w:p>
        </w:tc>
        <w:tc>
          <w:tcPr>
            <w:tcW w:type="dxa" w:w="2160"/>
          </w:tcPr>
          <w:p>
            <w:r>
              <w:t>This retention clause is not intended to reduce the agreed advance percentage but can</w:t>
              <w:br/>
              <w:t>affect payment timing.</w:t>
            </w:r>
          </w:p>
        </w:tc>
      </w:tr>
      <w:tr>
        <w:tc>
          <w:tcPr>
            <w:tcW w:type="dxa" w:w="2160"/>
          </w:tcPr>
          <w:p>
            <w:r>
              <w:t>Bank Guarantees</w:t>
            </w:r>
          </w:p>
        </w:tc>
        <w:tc>
          <w:tcPr>
            <w:tcW w:type="dxa" w:w="2160"/>
          </w:tcPr>
          <w:p>
            <w:r>
              <w:t>Performance Guarantee not exceeding 10%</w:t>
            </w:r>
          </w:p>
        </w:tc>
        <w:tc>
          <w:tcPr>
            <w:tcW w:type="dxa" w:w="2160"/>
          </w:tcPr>
          <w:p>
            <w:r>
              <w:t>1 Performance bank guarantee. Supplier shall furnish an unconditional performance bank guarantee equal to ten percent (10%) of the Purchase Order value, valid until expiry of the standard guarantee period plus ninety (90) days. Agent Test Input - Complex Contract Terms 00511</w:t>
            </w:r>
          </w:p>
        </w:tc>
        <w:tc>
          <w:tcPr>
            <w:tcW w:type="dxa" w:w="2160"/>
          </w:tcPr>
          <w:p>
            <w:r>
              <w:t>In addition to the guarantee in Article 00511.3.1, Supplier shall furnish a temporary bridge performance</w:t>
              <w:br/>
              <w:t>guarantee equal to two percent (2%) of the Purchase Order value from the date of the first advance tranche until the earlier of successful</w:t>
              <w:br/>
              <w:t>FAT release or first dispatch.</w:t>
            </w:r>
          </w:p>
        </w:tc>
      </w:tr>
      <w:tr>
        <w:tc>
          <w:tcPr>
            <w:tcW w:type="dxa" w:w="2160"/>
          </w:tcPr>
          <w:p>
            <w:r>
              <w:t>Bank Guarantees</w:t>
            </w:r>
          </w:p>
        </w:tc>
        <w:tc>
          <w:tcPr>
            <w:tcW w:type="dxa" w:w="2160"/>
          </w:tcPr>
          <w:p>
            <w:r>
              <w:t>Bank Guarantee validity period defined</w:t>
            </w:r>
          </w:p>
        </w:tc>
        <w:tc>
          <w:tcPr>
            <w:tcW w:type="dxa" w:w="2160"/>
          </w:tcPr>
          <w:p>
            <w:r>
              <w:t>1 Performance bank guarantee. Supplier shall furnish an unconditional performance bank guarantee equal to ten percent (10%) of the Purchase Order value, valid until expiry of the standard guarantee period plus ninety (90) days. Agent Test Input - Complex Contract Terms 00511</w:t>
            </w:r>
          </w:p>
        </w:tc>
        <w:tc>
          <w:tcPr>
            <w:tcW w:type="dxa" w:w="2160"/>
          </w:tcPr>
          <w:p>
            <w:r>
              <w:t>Supplier shall furnish an unconditional performance bank guarantee equal to ten percent (10%)</w:t>
              <w:br/>
              <w:t>of the Purchase Order value, valid until expiry of the standard guarantee period plus ninety (90) days.</w:t>
            </w:r>
          </w:p>
        </w:tc>
      </w:tr>
      <w:tr>
        <w:tc>
          <w:tcPr>
            <w:tcW w:type="dxa" w:w="2160"/>
          </w:tcPr>
          <w:p>
            <w:r>
              <w:t>Liquidated Damages</w:t>
            </w:r>
          </w:p>
        </w:tc>
        <w:tc>
          <w:tcPr>
            <w:tcW w:type="dxa" w:w="2160"/>
          </w:tcPr>
          <w:p>
            <w:r>
              <w:t>Documentation LD not applicable</w:t>
            </w:r>
          </w:p>
        </w:tc>
        <w:tc>
          <w:tcPr>
            <w:tcW w:type="dxa" w:w="2160"/>
          </w:tcPr>
          <w:p>
            <w:r>
              <w:t>1 Documentation and engineering submittals. Delay in routine manuals, vendor data books, certificates, or non-critical engineering submittals shall not attract standalone liquidated damages. However, delay in a document identified as a Critical Dispatch Document in Annex B that directly prevents FAT release shall be treated as a delay in equipment delivery for the affected lot</w:t>
            </w:r>
          </w:p>
        </w:tc>
        <w:tc>
          <w:tcPr>
            <w:tcW w:type="dxa" w:w="2160"/>
          </w:tcPr>
          <w:p>
            <w:r>
              <w:t>For delay in delivery of equipment beyond the contractual delivery date, Supplier shall pay liquidated</w:t>
              <w:br/>
              <w:t>damages at zero point five percent (0.5%) of the value of the undelivered part per completed week of delay.</w:t>
            </w:r>
          </w:p>
        </w:tc>
      </w:tr>
      <w:tr>
        <w:tc>
          <w:tcPr>
            <w:tcW w:type="dxa" w:w="2160"/>
          </w:tcPr>
          <w:p>
            <w:r>
              <w:t>Liquidated Damages</w:t>
            </w:r>
          </w:p>
        </w:tc>
        <w:tc>
          <w:tcPr>
            <w:tcW w:type="dxa" w:w="2160"/>
          </w:tcPr>
          <w:p>
            <w:r>
              <w:t>Equipment Delivery LD 0.5% per week</w:t>
            </w:r>
          </w:p>
        </w:tc>
        <w:tc>
          <w:tcPr>
            <w:tcW w:type="dxa" w:w="2160"/>
          </w:tcPr>
          <w:p>
            <w:r>
              <w:t>1 Documentation and engineering submittals. Delay in routine manuals, vendor data books, certificates, or non-critical engineering submittals shall not attract standalone liquidated damages. However, delay in a document identified as a Critical Dispatch Document in Annex B that directly prevents FAT release shall be treated as a delay in equipment delivery for the affected lot</w:t>
            </w:r>
          </w:p>
        </w:tc>
        <w:tc>
          <w:tcPr>
            <w:tcW w:type="dxa" w:w="2160"/>
          </w:tcPr>
          <w:p>
            <w:r>
              <w:t>For delay in delivery of equipment beyond the contractual delivery date, Supplier shall pay liquidated</w:t>
              <w:br/>
              <w:t>damages at zero point five percent (0.5%) of the value of the undelivered part per completed week of delay.</w:t>
            </w:r>
          </w:p>
        </w:tc>
      </w:tr>
      <w:tr>
        <w:tc>
          <w:tcPr>
            <w:tcW w:type="dxa" w:w="2160"/>
          </w:tcPr>
          <w:p>
            <w:r>
              <w:t>Liquidated Damages</w:t>
            </w:r>
          </w:p>
        </w:tc>
        <w:tc>
          <w:tcPr>
            <w:tcW w:type="dxa" w:w="2160"/>
          </w:tcPr>
          <w:p>
            <w:r>
              <w:t>Equipment Delivery LD capped at 5%</w:t>
            </w:r>
          </w:p>
        </w:tc>
        <w:tc>
          <w:tcPr>
            <w:tcW w:type="dxa" w:w="2160"/>
          </w:tcPr>
          <w:p>
            <w:r>
              <w:t>1 Documentation and engineering submittals. Delay in routine manuals, vendor data books, certificates, or non-critical engineering submittals shall not attract standalone liquidated damages. However, delay in a document identified as a Critical Dispatch Document in Annex B that directly prevents FAT release shall be treated as a delay in equipment delivery for the affected lot</w:t>
            </w:r>
          </w:p>
        </w:tc>
        <w:tc>
          <w:tcPr>
            <w:tcW w:type="dxa" w:w="2160"/>
          </w:tcPr>
          <w:p>
            <w:r>
              <w:t>For delay in delivery of equipment beyond the contractual delivery date, Supplier shall pay liquidated</w:t>
              <w:br/>
              <w:t>damages at zero point five percent (0.5%) of the value of the undelivered part per completed week of delay.</w:t>
            </w:r>
          </w:p>
        </w:tc>
      </w:tr>
      <w:tr>
        <w:tc>
          <w:tcPr>
            <w:tcW w:type="dxa" w:w="2160"/>
          </w:tcPr>
          <w:p>
            <w:r>
              <w:t>Liquidated Damages</w:t>
            </w:r>
          </w:p>
        </w:tc>
        <w:tc>
          <w:tcPr>
            <w:tcW w:type="dxa" w:w="2160"/>
          </w:tcPr>
          <w:p>
            <w:r>
              <w:t>Aggregate LD capped at 5% PO value</w:t>
            </w:r>
          </w:p>
        </w:tc>
        <w:tc>
          <w:tcPr>
            <w:tcW w:type="dxa" w:w="2160"/>
          </w:tcPr>
          <w:p>
            <w:r>
              <w:t>1 Documentation and engineering submittals. Delay in routine manuals, vendor data books, certificates, or non-critical engineering submittals shall not attract standalone liquidated damages. However, delay in a document identified as a Critical Dispatch Document in Annex B that directly prevents FAT release shall be treated as a delay in equipment delivery for the affected lot</w:t>
            </w:r>
          </w:p>
        </w:tc>
        <w:tc>
          <w:tcPr>
            <w:tcW w:type="dxa" w:w="2160"/>
          </w:tcPr>
          <w:p>
            <w:r>
              <w:t>For delay in delivery of equipment beyond the contractual delivery date, Supplier shall pay liquidated</w:t>
              <w:br/>
              <w:t>damages at zero point five percent (0.5%) of the value of the undelivered part per completed week of delay.</w:t>
            </w:r>
          </w:p>
        </w:tc>
      </w:tr>
      <w:tr>
        <w:tc>
          <w:tcPr>
            <w:tcW w:type="dxa" w:w="2160"/>
          </w:tcPr>
          <w:p>
            <w:r>
              <w:t>Liquidated Damages</w:t>
            </w:r>
          </w:p>
        </w:tc>
        <w:tc>
          <w:tcPr>
            <w:tcW w:type="dxa" w:w="2160"/>
          </w:tcPr>
          <w:p>
            <w:r>
              <w:t>Remedial Work LD not applicable</w:t>
            </w:r>
          </w:p>
        </w:tc>
        <w:tc>
          <w:tcPr>
            <w:tcW w:type="dxa" w:w="2160"/>
          </w:tcPr>
          <w:p>
            <w:r>
              <w:t>1 Documentation and engineering submittals. Delay in routine manuals, vendor data books, certificates, or non-critical engineering submittals shall not attract standalone liquidated damages. However, delay in a document identified as a Critical Dispatch Document in Annex B that directly prevents FAT release shall be treated as a delay in equipment delivery for the affected lot</w:t>
            </w:r>
          </w:p>
        </w:tc>
        <w:tc>
          <w:tcPr>
            <w:tcW w:type="dxa" w:w="2160"/>
          </w:tcPr>
          <w:p>
            <w:r>
              <w:t>For delay in delivery of equipment beyond the contractual delivery date, Supplier shall pay liquidated</w:t>
              <w:br/>
              <w:t>damages at zero point five percent (0.5%) of the value of the undelivered part per completed week of delay.</w:t>
            </w:r>
          </w:p>
        </w:tc>
      </w:tr>
      <w:tr>
        <w:tc>
          <w:tcPr>
            <w:tcW w:type="dxa" w:w="2160"/>
          </w:tcPr>
          <w:p>
            <w:r>
              <w:t>Guarantee</w:t>
            </w:r>
          </w:p>
        </w:tc>
        <w:tc>
          <w:tcPr>
            <w:tcW w:type="dxa" w:w="2160"/>
          </w:tcPr>
          <w:p>
            <w:r>
              <w:t>Warranty period defined</w:t>
            </w:r>
          </w:p>
        </w:tc>
        <w:tc>
          <w:tcPr>
            <w:tcW w:type="dxa" w:w="2160"/>
          </w:tcPr>
          <w:p>
            <w:r>
              <w:t>Supplier guarantees the equipment for two (2) months from successful provisional commissioning or eighteen (18) months from dispatch from Supplier works, whichever occurs earlier. If commissioning is delayed solely because Buyer has not provided utilities, access, or foundation readiness for more than sixty (60) days, the commissioning limb is deemed to have started on the sixty-first day after delivery to site. Any repaired or replaced component shall be guaranteed for twelve (12) months from completion of repair or replacement, or until eighteen (18) months from original dispatch of the affected equipment, whichever occurs earlier</w:t>
            </w:r>
          </w:p>
        </w:tc>
        <w:tc>
          <w:tcPr>
            <w:tcW w:type="dxa" w:w="2160"/>
          </w:tcPr>
          <w:p>
            <w:r>
              <w:t>Any repaired or replaced component shall be guaranteed for twelve (12) months from completion of</w:t>
              <w:br/>
              <w:t>repair or replacement, or until eighteen (18) months from original dispatch of the affected equipment, whichever occurs earlier.</w:t>
            </w:r>
          </w:p>
        </w:tc>
      </w:tr>
      <w:tr>
        <w:tc>
          <w:tcPr>
            <w:tcW w:type="dxa" w:w="2160"/>
          </w:tcPr>
          <w:p>
            <w:r>
              <w:t>Guarantee</w:t>
            </w:r>
          </w:p>
        </w:tc>
        <w:tc>
          <w:tcPr>
            <w:tcW w:type="dxa" w:w="2160"/>
          </w:tcPr>
          <w:p>
            <w:r>
              <w:t>2 months from commissioning or 18 months from dispatch</w:t>
            </w:r>
          </w:p>
        </w:tc>
        <w:tc>
          <w:tcPr>
            <w:tcW w:type="dxa" w:w="2160"/>
          </w:tcPr>
          <w:p>
            <w:r>
              <w:t>Supplier guarantees the equipment for two (2) months from successful provisional commissioning or eighteen (18) months from dispatch from Supplier works, whichever occurs earlier. If commissioning is delayed solely because Buyer has not provided utilities, access, or foundation readiness for more than sixty (60) days, the commissioning limb is deemed to have started on the sixty-first day after delivery to site. Any repaired or replaced component shall be guaranteed for twelve (12) months from completion of repair or replacement, or until eighteen (18) months from original dispatch of the affected equipment, whichever occurs earlier</w:t>
            </w:r>
          </w:p>
        </w:tc>
        <w:tc>
          <w:tcPr>
            <w:tcW w:type="dxa" w:w="2160"/>
          </w:tcPr>
          <w:p>
            <w:r>
              <w:t>Any repaired or replaced component shall be guaranteed for twelve (12) months from completion of</w:t>
              <w:br/>
              <w:t>repair or replacement, or until eighteen (18) months from original dispatch of the affected equipment, whichever occurs earlier.</w:t>
            </w:r>
          </w:p>
        </w:tc>
      </w:tr>
      <w:tr>
        <w:tc>
          <w:tcPr>
            <w:tcW w:type="dxa" w:w="2160"/>
          </w:tcPr>
          <w:p>
            <w:r>
              <w:t>Guarantee</w:t>
            </w:r>
          </w:p>
        </w:tc>
        <w:tc>
          <w:tcPr>
            <w:tcW w:type="dxa" w:w="2160"/>
          </w:tcPr>
          <w:p>
            <w:r>
              <w:t>Repair/replacement warranty obligations defined</w:t>
            </w:r>
          </w:p>
        </w:tc>
        <w:tc>
          <w:tcPr>
            <w:tcW w:type="dxa" w:w="2160"/>
          </w:tcPr>
          <w:p>
            <w:r>
              <w:t>Supplier guarantees the equipment for two (2) months from successful provisional commissioning or eighteen (18) months from dispatch from Supplier works, whichever occurs earlier. If commissioning is delayed solely because Buyer has not provided utilities, access, or foundation readiness for more than sixty (60) days, the commissioning limb is deemed to have started on the sixty-first day after delivery to site. Any repaired or replaced component shall be guaranteed for twelve (12) months from completion of repair or replacement, or until eighteen (18) months from original dispatch of the affected equipment, whichever occurs earlier</w:t>
            </w:r>
          </w:p>
        </w:tc>
        <w:tc>
          <w:tcPr>
            <w:tcW w:type="dxa" w:w="2160"/>
          </w:tcPr>
          <w:p>
            <w:r>
              <w:t>Any repaired or replaced component shall be guaranteed for twelve (12) months from completion of</w:t>
              <w:br/>
              <w:t>repair or replacement, or until eighteen (18) months from original dispatch of the affected equipment, whichever occurs earlier.</w:t>
            </w:r>
          </w:p>
        </w:tc>
      </w:tr>
      <w:tr>
        <w:tc>
          <w:tcPr>
            <w:tcW w:type="dxa" w:w="2160"/>
          </w:tcPr>
          <w:p>
            <w:r>
              <w:t>Force Majeure</w:t>
            </w:r>
          </w:p>
        </w:tc>
        <w:tc>
          <w:tcPr>
            <w:tcW w:type="dxa" w:w="2160"/>
          </w:tcPr>
          <w:p>
            <w:r>
              <w:t>Force majeure events defined</w:t>
            </w:r>
          </w:p>
        </w:tc>
        <w:tc>
          <w:tcPr>
            <w:tcW w:type="dxa" w:w="2160"/>
          </w:tcPr>
          <w:p>
            <w:r>
              <w:t>Force Majeure means an event beyond the reasonable control of the affected party, including Act of God, expropriation, nationalization, embargo, changes in law or regulation, war, sabotage, floods, severe weather, fires, strikes, lockouts, epidemics, pandemics, quarantine restrictions, and government action directly preventing performance. 2 Supply-chain events. Supplier may claim Force Majeure relief for events affecting only the Tier-1 critical sub-suppliers named in Annex D or the approved international logistics carrier</w:t>
            </w:r>
          </w:p>
        </w:tc>
        <w:tc>
          <w:tcPr>
            <w:tcW w:type="dxa" w:w="2160"/>
          </w:tcPr>
          <w:p>
            <w:r>
              <w:t>Supplier may claim Force Majeure relief for events affecting only the Tier-1 critical sub-suppliers named</w:t>
              <w:br/>
              <w:t>in Annex D or the approved international logistics carrier.</w:t>
            </w:r>
          </w:p>
        </w:tc>
      </w:tr>
      <w:tr>
        <w:tc>
          <w:tcPr>
            <w:tcW w:type="dxa" w:w="2160"/>
          </w:tcPr>
          <w:p>
            <w:r>
              <w:t>Force Majeure</w:t>
            </w:r>
          </w:p>
        </w:tc>
        <w:tc>
          <w:tcPr>
            <w:tcW w:type="dxa" w:w="2160"/>
          </w:tcPr>
          <w:p>
            <w:r>
              <w:t>Applies to subcontractors</w:t>
            </w:r>
          </w:p>
        </w:tc>
        <w:tc>
          <w:tcPr>
            <w:tcW w:type="dxa" w:w="2160"/>
          </w:tcPr>
          <w:p>
            <w:r>
              <w:t>Force Majeure means an event beyond the reasonable control of the affected party, including Act of God, expropriation, nationalization, embargo, changes in law or regulation, war, sabotage, floods, severe weather, fires, strikes, lockouts, epidemics, pandemics, quarantine restrictions, and government action directly preventing performance. 2 Supply-chain events. Supplier may claim Force Majeure relief for events affecting only the Tier-1 critical sub-suppliers named in Annex D or the approved international logistics carrier</w:t>
            </w:r>
          </w:p>
        </w:tc>
        <w:tc>
          <w:tcPr>
            <w:tcW w:type="dxa" w:w="2160"/>
          </w:tcPr>
          <w:p>
            <w:r>
              <w:t>Force majeure applies only to named Tier-1 / approved suppliers</w:t>
            </w:r>
          </w:p>
        </w:tc>
      </w:tr>
      <w:tr>
        <w:tc>
          <w:tcPr>
            <w:tcW w:type="dxa" w:w="2160"/>
          </w:tcPr>
          <w:p>
            <w:r>
              <w:t>Force Majeure</w:t>
            </w:r>
          </w:p>
        </w:tc>
        <w:tc>
          <w:tcPr>
            <w:tcW w:type="dxa" w:w="2160"/>
          </w:tcPr>
          <w:p>
            <w:r>
              <w:t>Notice obligations defined</w:t>
            </w:r>
          </w:p>
        </w:tc>
        <w:tc>
          <w:tcPr>
            <w:tcW w:type="dxa" w:w="2160"/>
          </w:tcPr>
          <w:p>
            <w:r>
              <w:t>Force Majeure means an event beyond the reasonable control of the affected party, including Act of God, expropriation, nationalization, embargo, changes in law or regulation, war, sabotage, floods, severe weather, fires, strikes, lockouts, epidemics, pandemics, quarantine restrictions, and government action directly preventing performance. 2 Supply-chain events. Supplier may claim Force Majeure relief for events affecting only the Tier-1 critical sub-suppliers named in Annex D or the approved international logistics carrier</w:t>
            </w:r>
          </w:p>
        </w:tc>
        <w:tc>
          <w:tcPr>
            <w:tcW w:type="dxa" w:w="2160"/>
          </w:tcPr>
          <w:p>
            <w:r>
              <w:t>Supplier may claim Force Majeure relief for events affecting only the Tier-1 critical sub-suppliers named</w:t>
              <w:br/>
              <w:t>in Annex D or the approved international logistics carrier.</w:t>
            </w:r>
          </w:p>
        </w:tc>
      </w:tr>
      <w:tr>
        <w:tc>
          <w:tcPr>
            <w:tcW w:type="dxa" w:w="2160"/>
          </w:tcPr>
          <w:p>
            <w:r>
              <w:t>Termination</w:t>
            </w:r>
          </w:p>
        </w:tc>
        <w:tc>
          <w:tcPr>
            <w:tcW w:type="dxa" w:w="2160"/>
          </w:tcPr>
          <w:p>
            <w:r>
              <w:t>Termination rights defined</w:t>
            </w:r>
          </w:p>
        </w:tc>
        <w:tc>
          <w:tcPr>
            <w:tcW w:type="dxa" w:w="2160"/>
          </w:tcPr>
          <w:p>
            <w:r>
              <w:t>1 Convenience cancellation schedule. If Buyer cancels the Purchase Order for convenience after Supplier acknowledgement, Buyer shall pay the following fee as a percentage of the order value, subject to the notes below: 0-30 days: 7. 5%; 31-60 days: 25%; 61-90 days: 38%; 91-120 days: 55%; 121-150 days: 70% less documented resale or scrap salvage actually realized by Supplier; 151-180 days: 85%; and 181 or more days: 100% of the undelivered balance only</w:t>
            </w:r>
          </w:p>
        </w:tc>
        <w:tc>
          <w:tcPr>
            <w:tcW w:type="dxa" w:w="2160"/>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r>
      <w:tr>
        <w:tc>
          <w:tcPr>
            <w:tcW w:type="dxa" w:w="2160"/>
          </w:tcPr>
          <w:p>
            <w:r>
              <w:t>Termination</w:t>
            </w:r>
          </w:p>
        </w:tc>
        <w:tc>
          <w:tcPr>
            <w:tcW w:type="dxa" w:w="2160"/>
          </w:tcPr>
          <w:p>
            <w:r>
              <w:t>Cancellation fee structure defined</w:t>
            </w:r>
          </w:p>
        </w:tc>
        <w:tc>
          <w:tcPr>
            <w:tcW w:type="dxa" w:w="2160"/>
          </w:tcPr>
          <w:p>
            <w:r>
              <w:t>1 Convenience cancellation schedule. If Buyer cancels the Purchase Order for convenience after Supplier acknowledgement, Buyer shall pay the following fee as a percentage of the order value, subject to the notes below: 0-30 days: 7. 5%; 31-60 days: 25%; 61-90 days: 38%; 91-120 days: 55%; 121-150 days: 70% less documented resale or scrap salvage actually realized by Supplier; 151-180 days: 85%; and 181 or more days: 100% of the undelivered balance only</w:t>
            </w:r>
          </w:p>
        </w:tc>
        <w:tc>
          <w:tcPr>
            <w:tcW w:type="dxa" w:w="2160"/>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r>
      <w:tr>
        <w:tc>
          <w:tcPr>
            <w:tcW w:type="dxa" w:w="2160"/>
          </w:tcPr>
          <w:p>
            <w:r>
              <w:t>Termination</w:t>
            </w:r>
          </w:p>
        </w:tc>
        <w:tc>
          <w:tcPr>
            <w:tcW w:type="dxa" w:w="2160"/>
          </w:tcPr>
          <w:p>
            <w:r>
              <w:t>61-90 day cancellation fee 40%</w:t>
            </w:r>
          </w:p>
        </w:tc>
        <w:tc>
          <w:tcPr>
            <w:tcW w:type="dxa" w:w="2160"/>
          </w:tcPr>
          <w:p>
            <w:r>
              <w:t>1 Convenience cancellation schedule. If Buyer cancels the Purchase Order for convenience after Supplier acknowledgement, Buyer shall pay the following fee as a percentage of the order value, subject to the notes below: 0-30 days: 7. 5%; 31-60 days: 25%; 61-90 days: 38%; 91-120 days: 55%; 121-150 days: 70% less documented resale or scrap salvage actually realized by Supplier; 151-180 days: 85%; and 181 or more days: 100% of the undelivered balance only</w:t>
            </w:r>
          </w:p>
        </w:tc>
        <w:tc>
          <w:tcPr>
            <w:tcW w:type="dxa" w:w="2160"/>
          </w:tcPr>
          <w:p>
            <w:r>
              <w:t>Article 00511.9 - Cancellation and Early Termination Fee</w:t>
            </w:r>
          </w:p>
        </w:tc>
      </w:tr>
      <w:tr>
        <w:tc>
          <w:tcPr>
            <w:tcW w:type="dxa" w:w="2160"/>
          </w:tcPr>
          <w:p>
            <w:r>
              <w:t>Suspension</w:t>
            </w:r>
          </w:p>
        </w:tc>
        <w:tc>
          <w:tcPr>
            <w:tcW w:type="dxa" w:w="2160"/>
          </w:tcPr>
          <w:p>
            <w:r>
              <w:t>Maximum 2 suspensions and 30 days aggregate</w:t>
            </w:r>
          </w:p>
        </w:tc>
        <w:tc>
          <w:tcPr>
            <w:tcW w:type="dxa" w:w="2160"/>
          </w:tcPr>
          <w:p>
            <w:r>
              <w:t>Buyer may suspend work for commercial convenience no more than two (2) times during the Purchase Order term, and the aggregate duration of such commercial-convenience suspensions shall not exceed thirty (30) calendar days unless Supplier agrees in writing. Regulatory inspection holds, government clearance waits, and safety stoppages imposed by law are not counted as suspensions for this limit. If Buyer requests a commercial-convenience suspension beyond the permitted limit, the excess period shall be treated as a compensable change order entitling Supplier to schedule extension, storage, demobilization, and reasonable remobilization costs</w:t>
            </w:r>
          </w:p>
        </w:tc>
        <w:tc>
          <w:tcPr>
            <w:tcW w:type="dxa" w:w="2160"/>
          </w:tcPr>
          <w:p>
            <w:r>
              <w:t>Suspension limits exclude regulatory, government, legal, and safety stoppages</w:t>
            </w:r>
          </w:p>
        </w:tc>
      </w:tr>
      <w:tr>
        <w:tc>
          <w:tcPr>
            <w:tcW w:type="dxa" w:w="2160"/>
          </w:tcPr>
          <w:p>
            <w:r>
              <w:t>Suspension</w:t>
            </w:r>
          </w:p>
        </w:tc>
        <w:tc>
          <w:tcPr>
            <w:tcW w:type="dxa" w:w="2160"/>
          </w:tcPr>
          <w:p>
            <w:r>
              <w:t>Supplier obligations during suspension defined</w:t>
            </w:r>
          </w:p>
        </w:tc>
        <w:tc>
          <w:tcPr>
            <w:tcW w:type="dxa" w:w="2160"/>
          </w:tcPr>
          <w:p>
            <w:r>
              <w:t>Buyer may suspend work for commercial convenience no more than two (2) times during the Purchase Order term, and the aggregate duration of such commercial-convenience suspensions shall not exceed thirty (30) calendar days unless Supplier agrees in writing. Regulatory inspection holds, government clearance waits, and safety stoppages imposed by law are not counted as suspensions for this limit. If Buyer requests a commercial-convenience suspension beyond the permitted limit, the excess period shall be treated as a compensable change order entitling Supplier to schedule extension, storage, demobilization, and reasonable remobilization costs</w:t>
            </w:r>
          </w:p>
        </w:tc>
        <w:tc>
          <w:tcPr>
            <w:tcW w:type="dxa" w:w="2160"/>
          </w:tcPr>
          <w:p>
            <w:r>
              <w:t>Buyer may suspend work for commercial convenience no more than two (2) times during the Purchase</w:t>
              <w:br/>
              <w:t>Order term, and the aggregate duration of such commercial-convenience suspensions shall not exceed thirty (30) calendar days unless</w:t>
              <w:br/>
              <w:t>Supplier agrees in writing.</w:t>
            </w:r>
          </w:p>
        </w:tc>
      </w:tr>
      <w:tr>
        <w:tc>
          <w:tcPr>
            <w:tcW w:type="dxa" w:w="2160"/>
          </w:tcPr>
          <w:p>
            <w:r>
              <w:t>Change Orders</w:t>
            </w:r>
          </w:p>
        </w:tc>
        <w:tc>
          <w:tcPr>
            <w:tcW w:type="dxa" w:w="2160"/>
          </w:tcPr>
          <w:p>
            <w:r>
              <w:t>Formal amendment process defined</w:t>
            </w:r>
          </w:p>
        </w:tc>
        <w:tc>
          <w:tcPr>
            <w:tcW w:type="dxa" w:w="2160"/>
          </w:tcPr>
          <w:p>
            <w:r>
              <w:t>1 Order of precedence. In case of inconsistency, the following order applies: (a) signed Purchase Order amendment; (b) Special Conditions in Articles 00511. 16; (c) Annex B - Commercial Schedule; (d) Annex C - Logistics Protocol; (e) the General Procurement Conditions; and (f) email clarifications not incorporated by amendment</w:t>
            </w:r>
          </w:p>
        </w:tc>
        <w:tc>
          <w:tcPr>
            <w:tcW w:type="dxa" w:w="2160"/>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r>
      <w:tr>
        <w:tc>
          <w:tcPr>
            <w:tcW w:type="dxa" w:w="2160"/>
          </w:tcPr>
          <w:p>
            <w:r>
              <w:t>Change Orders</w:t>
            </w:r>
          </w:p>
        </w:tc>
        <w:tc>
          <w:tcPr>
            <w:tcW w:type="dxa" w:w="2160"/>
          </w:tcPr>
          <w:p>
            <w:r>
              <w:t>Timeline for approval defined</w:t>
            </w:r>
          </w:p>
        </w:tc>
        <w:tc>
          <w:tcPr>
            <w:tcW w:type="dxa" w:w="2160"/>
          </w:tcPr>
          <w:p>
            <w:r>
              <w:t>1 Order of precedence. In case of inconsistency, the following order applies: (a) signed Purchase Order amendment; (b) Special Conditions in Articles 00511. 16; (c) Annex B - Commercial Schedule; (d) Annex C - Logistics Protocol; (e) the General Procurement Conditions; and (f) email clarifications not incorporated by amendment</w:t>
            </w:r>
          </w:p>
        </w:tc>
        <w:tc>
          <w:tcPr>
            <w:tcW w:type="dxa" w:w="2160"/>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r>
      <w:tr>
        <w:tc>
          <w:tcPr>
            <w:tcW w:type="dxa" w:w="2160"/>
          </w:tcPr>
          <w:p>
            <w:r>
              <w:t>Governing Law</w:t>
            </w:r>
          </w:p>
        </w:tc>
        <w:tc>
          <w:tcPr>
            <w:tcW w:type="dxa" w:w="2160"/>
          </w:tcPr>
          <w:p>
            <w:r>
              <w:t>Applicable law specified</w:t>
            </w:r>
          </w:p>
        </w:tc>
        <w:tc>
          <w:tcPr>
            <w:tcW w:type="dxa" w:w="2160"/>
          </w:tcPr>
          <w:p>
            <w:r>
              <w:t>This Purchase Order and all non-contractual obligations arising out of or in connection with it shall be governed by the laws of India, excluding conflict-of-law principles. Disputes relating to price adjustment, delay LD, warranty, cancellation fee, limitation of liability, and consequential damages shall be finally resolved by arbitration seated in Singapore under the SIAC Rules. The language of arbitration shall be English</w:t>
            </w:r>
          </w:p>
        </w:tc>
        <w:tc>
          <w:tcPr>
            <w:tcW w:type="dxa" w:w="2160"/>
          </w:tcPr>
          <w:p>
            <w:r>
              <w:t>This Purchase Order and all non-contractual obligations arising out of or in connection with it shall be</w:t>
              <w:br/>
              <w:t>governed by the laws of India, excluding conflict-of-law principles.</w:t>
            </w:r>
          </w:p>
        </w:tc>
      </w:tr>
      <w:tr>
        <w:tc>
          <w:tcPr>
            <w:tcW w:type="dxa" w:w="2160"/>
          </w:tcPr>
          <w:p>
            <w:r>
              <w:t>Dispute Resolution</w:t>
            </w:r>
          </w:p>
        </w:tc>
        <w:tc>
          <w:tcPr>
            <w:tcW w:type="dxa" w:w="2160"/>
          </w:tcPr>
          <w:p>
            <w:r>
              <w:t>Arbitration mechanism defined</w:t>
            </w:r>
          </w:p>
        </w:tc>
        <w:tc>
          <w:tcPr>
            <w:tcW w:type="dxa" w:w="2160"/>
          </w:tcPr>
          <w:p>
            <w:r>
              <w:t>This Purchase Order and all non-contractual obligations arising out of or in connection with it shall be governed by the laws of India, excluding conflict-of-law principles. Disputes relating to price adjustment, delay LD, warranty, cancellation fee, limitation of liability, and consequential damages shall be finally resolved by arbitration seated in Singapore under the SIAC Rules. The language of arbitration shall be English</w:t>
            </w:r>
          </w:p>
        </w:tc>
        <w:tc>
          <w:tcPr>
            <w:tcW w:type="dxa" w:w="2160"/>
          </w:tcPr>
          <w:p>
            <w:r>
              <w:t>Disputes limited to laboratory test methodology shall</w:t>
              <w:br/>
              <w:t>first be referred to a technical expert in Mumbai; if the expert's determination is rejected, only the remaining legal dispute proceeds to</w:t>
              <w:br/>
              <w:t>Singapore arbitration.</w:t>
            </w:r>
          </w:p>
        </w:tc>
      </w:tr>
      <w:tr>
        <w:tc>
          <w:tcPr>
            <w:tcW w:type="dxa" w:w="2160"/>
          </w:tcPr>
          <w:p>
            <w:r>
              <w:t>Dispute Resolution</w:t>
            </w:r>
          </w:p>
        </w:tc>
        <w:tc>
          <w:tcPr>
            <w:tcW w:type="dxa" w:w="2160"/>
          </w:tcPr>
          <w:p>
            <w:r>
              <w:t>Seat of arbitration specified</w:t>
            </w:r>
          </w:p>
        </w:tc>
        <w:tc>
          <w:tcPr>
            <w:tcW w:type="dxa" w:w="2160"/>
          </w:tcPr>
          <w:p>
            <w:r>
              <w:t>This Purchase Order and all non-contractual obligations arising out of or in connection with it shall be governed by the laws of India, excluding conflict-of-law principles. Disputes relating to price adjustment, delay LD, warranty, cancellation fee, limitation of liability, and consequential damages shall be finally resolved by arbitration seated in Singapore under the SIAC Rules. The language of arbitration shall be English</w:t>
            </w:r>
          </w:p>
        </w:tc>
        <w:tc>
          <w:tcPr>
            <w:tcW w:type="dxa" w:w="2160"/>
          </w:tcPr>
          <w:p>
            <w:r>
              <w:t>Disputes limited to laboratory test methodology shall</w:t>
              <w:br/>
              <w:t>first be referred to a technical expert in Mumbai; if the expert's determination is rejected, only the remaining legal dispute proceeds to</w:t>
              <w:br/>
              <w:t>Singapore arbitration.</w:t>
            </w:r>
          </w:p>
        </w:tc>
      </w:tr>
      <w:tr>
        <w:tc>
          <w:tcPr>
            <w:tcW w:type="dxa" w:w="2160"/>
          </w:tcPr>
          <w:p>
            <w:r>
              <w:t>Insurance</w:t>
            </w:r>
          </w:p>
        </w:tc>
        <w:tc>
          <w:tcPr>
            <w:tcW w:type="dxa" w:w="2160"/>
          </w:tcPr>
          <w:p>
            <w:r>
              <w:t>Insurance responsibilities defined</w:t>
            </w:r>
          </w:p>
        </w:tc>
        <w:tc>
          <w:tcPr>
            <w:tcW w:type="dxa" w:w="2160"/>
          </w:tcPr>
          <w:p>
            <w:r>
              <w:t>1 Readiness and free storage. Supplier shall issue a readiness notice after FAT clearance. If Buyer defers collection after readiness notice, Supplier shall store the affected equipment free of charge for the first three (3) working days only</w:t>
            </w:r>
          </w:p>
        </w:tc>
        <w:tc>
          <w:tcPr>
            <w:tcW w:type="dxa" w:w="2160"/>
          </w:tcPr>
          <w:p>
            <w:r>
              <w:t>Article 00511.4 - Delivery, Readiness, and Storage</w:t>
            </w:r>
          </w:p>
        </w:tc>
      </w:tr>
      <w:tr>
        <w:tc>
          <w:tcPr>
            <w:tcW w:type="dxa" w:w="2160"/>
          </w:tcPr>
          <w:p>
            <w:r>
              <w:t>Insurance</w:t>
            </w:r>
          </w:p>
        </w:tc>
        <w:tc>
          <w:tcPr>
            <w:tcW w:type="dxa" w:w="2160"/>
          </w:tcPr>
          <w:p>
            <w:r>
              <w:t>Equipment damage covered while at buyer premises</w:t>
            </w:r>
          </w:p>
        </w:tc>
        <w:tc>
          <w:tcPr>
            <w:tcW w:type="dxa" w:w="2160"/>
          </w:tcPr>
          <w:p>
            <w:r>
              <w:t>1 Readiness and free storage. Supplier shall issue a readiness notice after FAT clearance. If Buyer defers collection after readiness notice, Supplier shall store the affected equipment free of charge for the first three (3) working days only</w:t>
            </w:r>
          </w:p>
        </w:tc>
        <w:tc>
          <w:tcPr>
            <w:tcW w:type="dxa" w:w="2160"/>
          </w:tcPr>
          <w:p>
            <w:r>
              <w:t>Storage charges are</w:t>
              <w:br/>
              <w:t>without prejudice to Supplier's right to claim insurance or preservation costs caused by abnormal storage conditions.</w:t>
            </w:r>
          </w:p>
        </w:tc>
      </w:tr>
      <w:tr>
        <w:tc>
          <w:tcPr>
            <w:tcW w:type="dxa" w:w="2160"/>
          </w:tcPr>
          <w:p>
            <w:r>
              <w:t>Liability</w:t>
            </w:r>
          </w:p>
        </w:tc>
        <w:tc>
          <w:tcPr>
            <w:tcW w:type="dxa" w:w="2160"/>
          </w:tcPr>
          <w:p>
            <w:r>
              <w:t>Aggregate liability cap defined</w:t>
            </w:r>
          </w:p>
        </w:tc>
        <w:tc>
          <w:tcPr>
            <w:tcW w:type="dxa" w:w="2160"/>
          </w:tcPr>
          <w:p>
            <w:r>
              <w:t>1 Defect liability cap. Supplier shall correct defects arising during the guarantee period. Supplier's aggregate liability for repair or replacement of defective equipment under this Article shall not exceed ten percent (10%) of the total Purchase Order value</w:t>
            </w:r>
          </w:p>
        </w:tc>
        <w:tc>
          <w:tcPr>
            <w:tcW w:type="dxa" w:w="2160"/>
          </w:tcPr>
          <w:p>
            <w:r>
              <w:t>Supplier's aggregate liability for repair</w:t>
              <w:br/>
              <w:t>or replacement of defective equipment under this Article shall not exceed ten percent (10%) of the total Purchase Order value.</w:t>
            </w:r>
          </w:p>
        </w:tc>
      </w:tr>
      <w:tr>
        <w:tc>
          <w:tcPr>
            <w:tcW w:type="dxa" w:w="2160"/>
          </w:tcPr>
          <w:p>
            <w:r>
              <w:t>Liability</w:t>
            </w:r>
          </w:p>
        </w:tc>
        <w:tc>
          <w:tcPr>
            <w:tcW w:type="dxa" w:w="2160"/>
          </w:tcPr>
          <w:p>
            <w:r>
              <w:t>Liability carve-outs defined</w:t>
            </w:r>
          </w:p>
        </w:tc>
        <w:tc>
          <w:tcPr>
            <w:tcW w:type="dxa" w:w="2160"/>
          </w:tcPr>
          <w:p>
            <w:r>
              <w:t>1 Defect liability cap. Supplier shall correct defects arising during the guarantee period. Supplier's aggregate liability for repair or replacement of defective equipment under this Article shall not exceed ten percent (10%) of the total Purchase Order value</w:t>
            </w:r>
          </w:p>
        </w:tc>
        <w:tc>
          <w:tcPr>
            <w:tcW w:type="dxa" w:w="2160"/>
          </w:tcPr>
          <w:p>
            <w:r>
              <w:t>The cap in Article 00511.8.1 does not apply to direct costs of emergency removal, re-installation, or</w:t>
              <w:br/>
              <w:t>temporary site stabilization if the defect creates a safety shutdown.</w:t>
            </w:r>
          </w:p>
        </w:tc>
      </w:tr>
      <w:tr>
        <w:tc>
          <w:tcPr>
            <w:tcW w:type="dxa" w:w="2160"/>
          </w:tcPr>
          <w:p>
            <w:r>
              <w:t>Consequential Damages</w:t>
            </w:r>
          </w:p>
        </w:tc>
        <w:tc>
          <w:tcPr>
            <w:tcW w:type="dxa" w:w="2160"/>
          </w:tcPr>
          <w:p>
            <w:r>
              <w:t>Consequential damages excluded</w:t>
            </w:r>
          </w:p>
        </w:tc>
        <w:tc>
          <w:tcPr>
            <w:tcW w:type="dxa" w:w="2160"/>
          </w:tcPr>
          <w:p>
            <w:r>
              <w:t>1 Consequential damages waiver. Neither party shall be liable to the other for loss of revenue, loss of profit, loss of use, loss of production, downtime, loss of business opportunity, indirect damages, special damages, punitive damages, exemplary damages, or consequential damages. The exclusion in Article 00511</w:t>
            </w:r>
          </w:p>
        </w:tc>
        <w:tc>
          <w:tcPr>
            <w:tcW w:type="dxa" w:w="2160"/>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r>
      <w:tr>
        <w:tc>
          <w:tcPr>
            <w:tcW w:type="dxa" w:w="2160"/>
          </w:tcPr>
          <w:p>
            <w:r>
              <w:t>Consequential Damages</w:t>
            </w:r>
          </w:p>
        </w:tc>
        <w:tc>
          <w:tcPr>
            <w:tcW w:type="dxa" w:w="2160"/>
          </w:tcPr>
          <w:p>
            <w:r>
              <w:t>Exceptions to exclusion defined</w:t>
            </w:r>
          </w:p>
        </w:tc>
        <w:tc>
          <w:tcPr>
            <w:tcW w:type="dxa" w:w="2160"/>
          </w:tcPr>
          <w:p>
            <w:r>
              <w:t>1 Consequential damages waiver. Neither party shall be liable to the other for loss of revenue, loss of profit, loss of use, loss of production, downtime, loss of business opportunity, indirect damages, special damages, punitive damages, exemplary damages, or consequential damages. The exclusion in Article 00511</w:t>
            </w:r>
          </w:p>
        </w:tc>
        <w:tc>
          <w:tcPr>
            <w:tcW w:type="dxa" w:w="2160"/>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r>
      <w:tr>
        <w:tc>
          <w:tcPr>
            <w:tcW w:type="dxa" w:w="2160"/>
          </w:tcPr>
          <w:p>
            <w:r>
              <w:t>Critical Sub-Suppliers</w:t>
            </w:r>
          </w:p>
        </w:tc>
        <w:tc>
          <w:tcPr>
            <w:tcW w:type="dxa" w:w="2160"/>
          </w:tcPr>
          <w:p>
            <w:r>
              <w:t>Approved critical vendors identified</w:t>
            </w:r>
          </w:p>
        </w:tc>
        <w:tc>
          <w:tcPr>
            <w:tcW w:type="dxa" w:w="2160"/>
          </w:tcPr>
          <w:p>
            <w:r>
              <w:t>Force Majeure means an event beyond the reasonable control of the affected party, including Act of God, expropriation, nationalization, embargo, changes in law or regulation, war, sabotage, floods, severe weather, fires, strikes, lockouts, epidemics, pandemics, quarantine restrictions, and government action directly preventing performance. 2 Supply-chain events. Supplier may claim Force Majeure relief for events affecting only the Tier-1 critical sub-suppliers named in Annex D or the approved international logistics carrier</w:t>
            </w:r>
          </w:p>
        </w:tc>
        <w:tc>
          <w:tcPr>
            <w:tcW w:type="dxa" w:w="2160"/>
          </w:tcPr>
          <w:p>
            <w:r>
              <w:t>Annex D approved critical sub-suppliers: BrightForge Rings Pvt.</w:t>
            </w:r>
          </w:p>
        </w:tc>
      </w:tr>
      <w:tr>
        <w:tc>
          <w:tcPr>
            <w:tcW w:type="dxa" w:w="2160"/>
          </w:tcPr>
          <w:p>
            <w:r>
              <w:t>Critical Sub-Suppliers</w:t>
            </w:r>
          </w:p>
        </w:tc>
        <w:tc>
          <w:tcPr>
            <w:tcW w:type="dxa" w:w="2160"/>
          </w:tcPr>
          <w:p>
            <w:r>
              <w:t>Vendor substitution restrictions defined</w:t>
            </w:r>
          </w:p>
        </w:tc>
        <w:tc>
          <w:tcPr>
            <w:tcW w:type="dxa" w:w="2160"/>
          </w:tcPr>
          <w:p>
            <w:r>
              <w:t>Force Majeure means an event beyond the reasonable control of the affected party, including Act of God, expropriation, nationalization, embargo, changes in law or regulation, war, sabotage, floods, severe weather, fires, strikes, lockouts, epidemics, pandemics, quarantine restrictions, and government action directly preventing performance. 2 Supply-chain events. Supplier may claim Force Majeure relief for events affecting only the Tier-1 critical sub-suppliers named in Annex D or the approved international logistics carrier</w:t>
            </w:r>
          </w:p>
        </w:tc>
        <w:tc>
          <w:tcPr>
            <w:tcW w:type="dxa" w:w="2160"/>
          </w:tcPr>
          <w:p>
            <w:r>
              <w:t>Annex D approved critical sub-suppliers: BrightForge Rings Pvt.</w:t>
            </w:r>
          </w:p>
        </w:tc>
      </w:tr>
      <w:tr>
        <w:tc>
          <w:tcPr>
            <w:tcW w:type="dxa" w:w="2160"/>
          </w:tcPr>
          <w:p>
            <w:r>
              <w:t>Payment Terms</w:t>
            </w:r>
          </w:p>
        </w:tc>
        <w:tc>
          <w:tcPr>
            <w:tcW w:type="dxa" w:w="2160"/>
          </w:tcPr>
          <w:p>
            <w:r>
              <w:t>All payments Net 30 days from invoice</w:t>
            </w:r>
          </w:p>
        </w:tc>
        <w:tc>
          <w:tcPr>
            <w:tcW w:type="dxa" w:w="2160"/>
          </w:tcPr>
          <w:p>
            <w:r>
              <w:t>Subject to Supplier acknowledging the Purchase Order and furnishing the documents listed in Annex B, Buyer shall arrange an advance equal to forty-five percent (45%) of the Purchase Order value. Thirty percent (30%) is payable within five (5) business days after PO acknowledgement. The remaining fifteen percent (15%) is payable only after Buyer receives the performance bank guarantee, the project kick-off minutes signed by both parties, and the first document submission register</w:t>
            </w:r>
          </w:p>
        </w:tc>
        <w:tc>
          <w:tcPr>
            <w:tcW w:type="dxa" w:w="2160"/>
          </w:tcPr>
          <w:p>
            <w:r>
              <w:t>Clause 00511.2.2 states: 'Buyer shall pay accepted invoices within thirty (30) days after receipt of a valid tax invoice.' However, the clause includes exceptions (disputed amounts) and modifies the timing trigger to start from the later acceptance record, not the invoice date.</w:t>
            </w:r>
          </w:p>
        </w:tc>
      </w:tr>
      <w:tr>
        <w:tc>
          <w:tcPr>
            <w:tcW w:type="dxa" w:w="2160"/>
          </w:tcPr>
          <w:p>
            <w:r>
              <w:t>Payment Terms</w:t>
            </w:r>
          </w:p>
        </w:tc>
        <w:tc>
          <w:tcPr>
            <w:tcW w:type="dxa" w:w="2160"/>
          </w:tcPr>
          <w:p>
            <w:r>
              <w:t>Partial delivery and invoicing allowed</w:t>
            </w:r>
          </w:p>
        </w:tc>
        <w:tc>
          <w:tcPr>
            <w:tcW w:type="dxa" w:w="2160"/>
          </w:tcPr>
          <w:p>
            <w:r>
              <w:t>Subject to Supplier acknowledging the Purchase Order and furnishing the documents listed in Annex B, Buyer shall arrange an advance equal to forty-five percent (45%) of the Purchase Order value. Thirty percent (30%) is payable within five (5) business days after PO acknowledgement. The remaining fifteen percent (15%) is payable only after Buyer receives the performance bank guarantee, the project kick-off minutes signed by both parties, and the first document submission register</w:t>
            </w:r>
          </w:p>
        </w:tc>
        <w:tc>
          <w:tcPr>
            <w:tcW w:type="dxa" w:w="2160"/>
          </w:tcPr>
          <w:p>
            <w:r>
              <w:t>Clause 00511.2.3 explicitly permits 'Supplier may dispatch Lot A, Lot B, and Lot C separately and may raise a corresponding invoice for each completed lot.'</w:t>
            </w:r>
          </w:p>
        </w:tc>
      </w:tr>
    </w:tbl>
    <w:p>
      <w:r>
        <w:br w:type="page"/>
      </w:r>
    </w:p>
    <w:p>
      <w:pPr>
        <w:pStyle w:val="Heading2"/>
      </w:pPr>
      <w:r>
        <w:t>Table 2 - Risk Assessment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Clause</w:t>
            </w:r>
          </w:p>
        </w:tc>
        <w:tc>
          <w:tcPr>
            <w:tcW w:type="dxa" w:w="1440"/>
          </w:tcPr>
          <w:p>
            <w:r>
              <w:t>Requirement</w:t>
            </w:r>
          </w:p>
        </w:tc>
        <w:tc>
          <w:tcPr>
            <w:tcW w:type="dxa" w:w="1440"/>
          </w:tcPr>
          <w:p>
            <w:r>
              <w:t>RAG</w:t>
            </w:r>
          </w:p>
        </w:tc>
        <w:tc>
          <w:tcPr>
            <w:tcW w:type="dxa" w:w="1440"/>
          </w:tcPr>
          <w:p>
            <w:r>
              <w:t>Risk</w:t>
            </w:r>
          </w:p>
        </w:tc>
        <w:tc>
          <w:tcPr>
            <w:tcW w:type="dxa" w:w="1440"/>
          </w:tcPr>
          <w:p>
            <w:r>
              <w:t>Rationale</w:t>
            </w:r>
          </w:p>
        </w:tc>
        <w:tc>
          <w:tcPr>
            <w:tcW w:type="dxa" w:w="1440"/>
          </w:tcPr>
          <w:p>
            <w:r>
              <w:t>Mitigation</w:t>
            </w:r>
          </w:p>
        </w:tc>
      </w:tr>
      <w:tr>
        <w:tc>
          <w:tcPr>
            <w:tcW w:type="dxa" w:w="1440"/>
          </w:tcPr>
          <w:p>
            <w:r>
              <w:t>Payment Terms</w:t>
            </w:r>
          </w:p>
        </w:tc>
        <w:tc>
          <w:tcPr>
            <w:tcW w:type="dxa" w:w="1440"/>
          </w:tcPr>
          <w:p>
            <w:r>
              <w:t>45% Minimum Advance</w:t>
            </w:r>
          </w:p>
        </w:tc>
        <w:tc>
          <w:tcPr>
            <w:tcW w:type="dxa" w:w="1440"/>
          </w:tcPr>
          <w:p>
            <w:r>
              <w:t>Amber</w:t>
            </w:r>
          </w:p>
        </w:tc>
        <w:tc>
          <w:tcPr>
            <w:tcW w:type="dxa" w:w="1440"/>
          </w:tcPr>
          <w:p>
            <w:r>
              <w:t>Delayed payment due to conditional advance tranche release.</w:t>
            </w:r>
          </w:p>
        </w:tc>
        <w:tc>
          <w:tcPr>
            <w:tcW w:type="dxa" w:w="1440"/>
          </w:tcPr>
          <w:p>
            <w:r>
              <w:t>The clause introduces multiple conditions (bank guarantee, kick-off minutes, document submission) for receiving the second advance payment. Failure to meet these within twenty days triggers a deferral of payment, creating cash flow risk and potential disruption to the supplier's operations. This is partially met as the requirement exists but isn't fully satisfied.</w:t>
            </w:r>
          </w:p>
        </w:tc>
        <w:tc>
          <w:tcPr>
            <w:tcW w:type="dxa" w:w="1440"/>
          </w:tcPr>
          <w:p>
            <w:r>
              <w:t>Require documented evidence of completion of all conditions within 10 business days of PO acknowledgement.</w:t>
            </w:r>
          </w:p>
        </w:tc>
      </w:tr>
      <w:tr>
        <w:tc>
          <w:tcPr>
            <w:tcW w:type="dxa" w:w="1440"/>
          </w:tcPr>
          <w:p>
            <w:r>
              <w:t>Bank Guarantees</w:t>
            </w:r>
          </w:p>
        </w:tc>
        <w:tc>
          <w:tcPr>
            <w:tcW w:type="dxa" w:w="1440"/>
          </w:tcPr>
          <w:p>
            <w:r>
              <w:t>Performance Guarantee not exceeding 10%</w:t>
            </w:r>
          </w:p>
        </w:tc>
        <w:tc>
          <w:tcPr>
            <w:tcW w:type="dxa" w:w="1440"/>
          </w:tcPr>
          <w:p>
            <w:r>
              <w:t>Red</w:t>
            </w:r>
          </w:p>
        </w:tc>
        <w:tc>
          <w:tcPr>
            <w:tcW w:type="dxa" w:w="1440"/>
          </w:tcPr>
          <w:p>
            <w:r>
              <w:t>Increased total performance security exposure exceeding 10%.</w:t>
            </w:r>
          </w:p>
        </w:tc>
        <w:tc>
          <w:tcPr>
            <w:tcW w:type="dxa" w:w="1440"/>
          </w:tcPr>
          <w:p>
            <w:r>
              <w:t>The Supplier provides a 10% performance guarantee plus a 2% bridge guarantee, totaling 12%. This exceeds the permitted limit outlined in Article 00511.3.1 and creates a significant financial risk for the Buyer.</w:t>
            </w:r>
          </w:p>
        </w:tc>
        <w:tc>
          <w:tcPr>
            <w:tcW w:type="dxa" w:w="1440"/>
          </w:tcPr>
          <w:p>
            <w:r>
              <w:t>Reduce total security obligations to a maximum of 10 percent, excluding any additional bridge guarantees.</w:t>
            </w:r>
          </w:p>
        </w:tc>
      </w:tr>
      <w:tr>
        <w:tc>
          <w:tcPr>
            <w:tcW w:type="dxa" w:w="1440"/>
          </w:tcPr>
          <w:p>
            <w:r>
              <w:t>Liquidated Damages</w:t>
            </w:r>
          </w:p>
        </w:tc>
        <w:tc>
          <w:tcPr>
            <w:tcW w:type="dxa" w:w="1440"/>
          </w:tcPr>
          <w:p>
            <w:r>
              <w:t>Documentation LD not applicable</w:t>
            </w:r>
          </w:p>
        </w:tc>
        <w:tc>
          <w:tcPr>
            <w:tcW w:type="dxa" w:w="1440"/>
          </w:tcPr>
          <w:p>
            <w:r>
              <w:t>Amber</w:t>
            </w:r>
          </w:p>
        </w:tc>
        <w:tc>
          <w:tcPr>
            <w:tcW w:type="dxa" w:w="1440"/>
          </w:tcPr>
          <w:p>
            <w:r>
              <w:t>Potential for significant liquidated damages exposure due to limitations.</w:t>
            </w:r>
          </w:p>
        </w:tc>
        <w:tc>
          <w:tcPr>
            <w:tcW w:type="dxa" w:w="1440"/>
          </w:tcPr>
          <w:p>
            <w:r>
              <w:t>The clause contains multiple caps (0.5%, 5%, and 7.5%) on LD, significantly restricting the Buyer's ability to recover costs associated with delays. This creates a considerable payment risk if deliveries are delayed.</w:t>
            </w:r>
          </w:p>
        </w:tc>
        <w:tc>
          <w:tcPr>
            <w:tcW w:type="dxa" w:w="1440"/>
          </w:tcPr>
          <w:p>
            <w:r>
              <w:t>Reduce aggregate LD and service-credit exposure to a maximum of 5 percent of PO value.</w:t>
            </w:r>
          </w:p>
        </w:tc>
      </w:tr>
      <w:tr>
        <w:tc>
          <w:tcPr>
            <w:tcW w:type="dxa" w:w="1440"/>
          </w:tcPr>
          <w:p>
            <w:r>
              <w:t>Liquidated Damages</w:t>
            </w:r>
          </w:p>
        </w:tc>
        <w:tc>
          <w:tcPr>
            <w:tcW w:type="dxa" w:w="1440"/>
          </w:tcPr>
          <w:p>
            <w:r>
              <w:t>Equipment Delivery LD 0.5% per week</w:t>
            </w:r>
          </w:p>
        </w:tc>
        <w:tc>
          <w:tcPr>
            <w:tcW w:type="dxa" w:w="1440"/>
          </w:tcPr>
          <w:p>
            <w:r>
              <w:t>Amber</w:t>
            </w:r>
          </w:p>
        </w:tc>
        <w:tc>
          <w:tcPr>
            <w:tcW w:type="dxa" w:w="1440"/>
          </w:tcPr>
          <w:p>
            <w:r>
              <w:t>Supplier may avoid liquidated damages exceeding 7.5% of PO value.</w:t>
            </w:r>
          </w:p>
        </w:tc>
        <w:tc>
          <w:tcPr>
            <w:tcW w:type="dxa" w:w="1440"/>
          </w:tcPr>
          <w:p>
            <w:r>
              <w:t>The clause contains an aggregate cap on delivery LD, deemed LD from critical documents, and service credits. This limits the Buyer's ability to enforce the standard 0.5% per week rate if multiple delays occur, potentially reducing recovery.</w:t>
            </w:r>
          </w:p>
        </w:tc>
        <w:tc>
          <w:tcPr>
            <w:tcW w:type="dxa" w:w="1440"/>
          </w:tcPr>
          <w:p>
            <w:r>
              <w:t>Reduce aggregate LD and service-credit exposure to a maximum of 7.5 percent of PO value.</w:t>
            </w:r>
          </w:p>
        </w:tc>
      </w:tr>
      <w:tr>
        <w:tc>
          <w:tcPr>
            <w:tcW w:type="dxa" w:w="1440"/>
          </w:tcPr>
          <w:p>
            <w:r>
              <w:t>Liquidated Damages</w:t>
            </w:r>
          </w:p>
        </w:tc>
        <w:tc>
          <w:tcPr>
            <w:tcW w:type="dxa" w:w="1440"/>
          </w:tcPr>
          <w:p>
            <w:r>
              <w:t>Equipment Delivery LD capped at 5%</w:t>
            </w:r>
          </w:p>
        </w:tc>
        <w:tc>
          <w:tcPr>
            <w:tcW w:type="dxa" w:w="1440"/>
          </w:tcPr>
          <w:p>
            <w:r>
              <w:t>Amber</w:t>
            </w:r>
          </w:p>
        </w:tc>
        <w:tc>
          <w:tcPr>
            <w:tcW w:type="dxa" w:w="1440"/>
          </w:tcPr>
          <w:p>
            <w:r>
              <w:t>Potential for increased liquidated damages exposure due to aggregate cap.</w:t>
            </w:r>
          </w:p>
        </w:tc>
        <w:tc>
          <w:tcPr>
            <w:tcW w:type="dxa" w:w="1440"/>
          </w:tcPr>
          <w:p>
            <w:r>
              <w:t xml:space="preserve">The clause establishes a tiered LD structure (0.5% per week, capped at 5%) and an overall 7.5% aggregate cap. This creates risk that significant delays could trigger substantial financial penalties exceeding the initially anticipated 5% limit. </w:t>
            </w:r>
          </w:p>
        </w:tc>
        <w:tc>
          <w:tcPr>
            <w:tcW w:type="dxa" w:w="1440"/>
          </w:tcPr>
          <w:p>
            <w:r>
              <w:t>Reduce aggregate LD and service-credit exposure to a maximum of 5 percent of PO value.</w:t>
            </w:r>
          </w:p>
        </w:tc>
      </w:tr>
      <w:tr>
        <w:tc>
          <w:tcPr>
            <w:tcW w:type="dxa" w:w="1440"/>
          </w:tcPr>
          <w:p>
            <w:r>
              <w:t>Liquidated Damages</w:t>
            </w:r>
          </w:p>
        </w:tc>
        <w:tc>
          <w:tcPr>
            <w:tcW w:type="dxa" w:w="1440"/>
          </w:tcPr>
          <w:p>
            <w:r>
              <w:t>Aggregate LD capped at 5% PO value</w:t>
            </w:r>
          </w:p>
        </w:tc>
        <w:tc>
          <w:tcPr>
            <w:tcW w:type="dxa" w:w="1440"/>
          </w:tcPr>
          <w:p>
            <w:r>
              <w:t>Red</w:t>
            </w:r>
          </w:p>
        </w:tc>
        <w:tc>
          <w:tcPr>
            <w:tcW w:type="dxa" w:w="1440"/>
          </w:tcPr>
          <w:p>
            <w:r>
              <w:t>Supplier may exceed liquidated damages cap, creating payment exposure.</w:t>
            </w:r>
          </w:p>
        </w:tc>
        <w:tc>
          <w:tcPr>
            <w:tcW w:type="dxa" w:w="1440"/>
          </w:tcPr>
          <w:p>
            <w:r>
              <w:t>The clause establishes a 7.5% aggregate LD cap, exceeding the stated 5% limit. This creates an increased risk of significant additional payments to the supplier due to delayed equipment delivery.</w:t>
            </w:r>
          </w:p>
        </w:tc>
        <w:tc>
          <w:tcPr>
            <w:tcW w:type="dxa" w:w="1440"/>
          </w:tcPr>
          <w:p>
            <w:r>
              <w:t>Reduce aggregate LD and service-credit exposure to a maximum of 5 percent of PO value.</w:t>
            </w:r>
          </w:p>
        </w:tc>
      </w:tr>
      <w:tr>
        <w:tc>
          <w:tcPr>
            <w:tcW w:type="dxa" w:w="1440"/>
          </w:tcPr>
          <w:p>
            <w:r>
              <w:t>Liquidated Damages</w:t>
            </w:r>
          </w:p>
        </w:tc>
        <w:tc>
          <w:tcPr>
            <w:tcW w:type="dxa" w:w="1440"/>
          </w:tcPr>
          <w:p>
            <w:r>
              <w:t>Remedial Work LD not applicable</w:t>
            </w:r>
          </w:p>
        </w:tc>
        <w:tc>
          <w:tcPr>
            <w:tcW w:type="dxa" w:w="1440"/>
          </w:tcPr>
          <w:p>
            <w:r>
              <w:t>Amber</w:t>
            </w:r>
          </w:p>
        </w:tc>
        <w:tc>
          <w:tcPr>
            <w:tcW w:type="dxa" w:w="1440"/>
          </w:tcPr>
          <w:p>
            <w:r>
              <w:t>Potential for significant liquidated damages exposure due to limitations.</w:t>
            </w:r>
          </w:p>
        </w:tc>
        <w:tc>
          <w:tcPr>
            <w:tcW w:type="dxa" w:w="1440"/>
          </w:tcPr>
          <w:p>
            <w:r>
              <w:t>The clause introduces multiple caps and exceptions – a 0.5% weekly rate, a 5% value cap, and a 7.5% aggregate limit – creating uncertainty regarding potential LD payments. This limits the buyer's ability to accurately forecast costs.</w:t>
            </w:r>
          </w:p>
        </w:tc>
        <w:tc>
          <w:tcPr>
            <w:tcW w:type="dxa" w:w="1440"/>
          </w:tcPr>
          <w:p>
            <w:r>
              <w:t>Reduce aggregate LD and service-credit exposure to a maximum of 5 percent of PO value.</w:t>
            </w:r>
          </w:p>
        </w:tc>
      </w:tr>
      <w:tr>
        <w:tc>
          <w:tcPr>
            <w:tcW w:type="dxa" w:w="1440"/>
          </w:tcPr>
          <w:p>
            <w:r>
              <w:t>Guarantee</w:t>
            </w:r>
          </w:p>
        </w:tc>
        <w:tc>
          <w:tcPr>
            <w:tcW w:type="dxa" w:w="1440"/>
          </w:tcPr>
          <w:p>
            <w:r>
              <w:t>Warranty period defined</w:t>
            </w:r>
          </w:p>
        </w:tc>
        <w:tc>
          <w:tcPr>
            <w:tcW w:type="dxa" w:w="1440"/>
          </w:tcPr>
          <w:p>
            <w:r>
              <w:t>Amber</w:t>
            </w:r>
          </w:p>
        </w:tc>
        <w:tc>
          <w:tcPr>
            <w:tcW w:type="dxa" w:w="1440"/>
          </w:tcPr>
          <w:p>
            <w:r>
              <w:t>Extended guarantee periods create potential cost overruns.</w:t>
            </w:r>
          </w:p>
        </w:tc>
        <w:tc>
          <w:tcPr>
            <w:tcW w:type="dxa" w:w="1440"/>
          </w:tcPr>
          <w:p>
            <w:r>
              <w:t>The clause provides a guaranteed period of twelve months for repaired components, extending beyond the standard eighteen months. This significantly increases warranty costs and potential liabilities if defects persist. The conflict between component-specific and equipment-wide guarantees adds uncertainty.</w:t>
            </w:r>
          </w:p>
        </w:tc>
        <w:tc>
          <w:tcPr>
            <w:tcW w:type="dxa" w:w="1440"/>
          </w:tcPr>
          <w:p>
            <w:r>
              <w:t>Reduce the remedial guarantee to eighteen months from original dispatch.</w:t>
            </w:r>
          </w:p>
        </w:tc>
      </w:tr>
      <w:tr>
        <w:tc>
          <w:tcPr>
            <w:tcW w:type="dxa" w:w="1440"/>
          </w:tcPr>
          <w:p>
            <w:r>
              <w:t>Guarantee</w:t>
            </w:r>
          </w:p>
        </w:tc>
        <w:tc>
          <w:tcPr>
            <w:tcW w:type="dxa" w:w="1440"/>
          </w:tcPr>
          <w:p>
            <w:r>
              <w:t>2 months from commissioning or 18 months from dispatch</w:t>
            </w:r>
          </w:p>
        </w:tc>
        <w:tc>
          <w:tcPr>
            <w:tcW w:type="dxa" w:w="1440"/>
          </w:tcPr>
          <w:p>
            <w:r>
              <w:t>Amber</w:t>
            </w:r>
          </w:p>
        </w:tc>
        <w:tc>
          <w:tcPr>
            <w:tcW w:type="dxa" w:w="1440"/>
          </w:tcPr>
          <w:p>
            <w:r>
              <w:t>Extended guarantee period creates potential long-term warranty costs.</w:t>
            </w:r>
          </w:p>
        </w:tc>
        <w:tc>
          <w:tcPr>
            <w:tcW w:type="dxa" w:w="1440"/>
          </w:tcPr>
          <w:p>
            <w:r>
              <w:t>The clause establishes multiple overlapping guarantee periods (12 months on repairs and 18 months from dispatch), significantly increasing the supplier's warranty obligations. This exposes the buyer to extended repair or replacement costs, especially if defects are not immediately apparent.</w:t>
            </w:r>
          </w:p>
        </w:tc>
        <w:tc>
          <w:tcPr>
            <w:tcW w:type="dxa" w:w="1440"/>
          </w:tcPr>
          <w:p>
            <w:r>
              <w:t>Limit the overall guarantee period to the shortest duration – eighteen months from dispatch.</w:t>
            </w:r>
          </w:p>
        </w:tc>
      </w:tr>
      <w:tr>
        <w:tc>
          <w:tcPr>
            <w:tcW w:type="dxa" w:w="1440"/>
          </w:tcPr>
          <w:p>
            <w:r>
              <w:t>Guarantee</w:t>
            </w:r>
          </w:p>
        </w:tc>
        <w:tc>
          <w:tcPr>
            <w:tcW w:type="dxa" w:w="1440"/>
          </w:tcPr>
          <w:p>
            <w:r>
              <w:t>Repair/replacement warranty obligations defined</w:t>
            </w:r>
          </w:p>
        </w:tc>
        <w:tc>
          <w:tcPr>
            <w:tcW w:type="dxa" w:w="1440"/>
          </w:tcPr>
          <w:p>
            <w:r>
              <w:t>Amber</w:t>
            </w:r>
          </w:p>
        </w:tc>
        <w:tc>
          <w:tcPr>
            <w:tcW w:type="dxa" w:w="1440"/>
          </w:tcPr>
          <w:p>
            <w:r>
              <w:t>Limited guarantee duration exposes Buyer to long-term repair costs.</w:t>
            </w:r>
          </w:p>
        </w:tc>
        <w:tc>
          <w:tcPr>
            <w:tcW w:type="dxa" w:w="1440"/>
          </w:tcPr>
          <w:p>
            <w:r>
              <w:t>The remedial guarantee of twelve months, alongside the eighteen-month dispatch warranty, creates uncertainty regarding ongoing coverage. This limits the protection afforded during equipment operation and introduces potential for significant future expense if defects emerge later than the shorter period.</w:t>
            </w:r>
          </w:p>
        </w:tc>
        <w:tc>
          <w:tcPr>
            <w:tcW w:type="dxa" w:w="1440"/>
          </w:tcPr>
          <w:p>
            <w:r>
              <w:t>Extend the remedial guarantee to a minimum of thirty-six months from original dispatch.</w:t>
            </w:r>
          </w:p>
        </w:tc>
      </w:tr>
      <w:tr>
        <w:tc>
          <w:tcPr>
            <w:tcW w:type="dxa" w:w="1440"/>
          </w:tcPr>
          <w:p>
            <w:r>
              <w:t>Force Majeure</w:t>
            </w:r>
          </w:p>
        </w:tc>
        <w:tc>
          <w:tcPr>
            <w:tcW w:type="dxa" w:w="1440"/>
          </w:tcPr>
          <w:p>
            <w:r>
              <w:t>Force majeure events defined</w:t>
            </w:r>
          </w:p>
        </w:tc>
        <w:tc>
          <w:tcPr>
            <w:tcW w:type="dxa" w:w="1440"/>
          </w:tcPr>
          <w:p>
            <w:r>
              <w:t>Amber</w:t>
            </w:r>
          </w:p>
        </w:tc>
        <w:tc>
          <w:tcPr>
            <w:tcW w:type="dxa" w:w="1440"/>
          </w:tcPr>
          <w:p>
            <w:r>
              <w:t>Supplier may limit Force Majeure to specific Tier-1 suppliers.</w:t>
            </w:r>
          </w:p>
        </w:tc>
        <w:tc>
          <w:tcPr>
            <w:tcW w:type="dxa" w:w="1440"/>
          </w:tcPr>
          <w:p>
            <w:r>
              <w:t>The clause restricts Force Majeure relief solely to Annex D sub-suppliers and approved logistics carriers, excluding other sub-contractors or alternative vendors. This creates a significant risk if disruptions occur beyond these specified tiers, potentially delaying performance and incurring costs without recourse under the agreement.</w:t>
            </w:r>
          </w:p>
        </w:tc>
        <w:tc>
          <w:tcPr>
            <w:tcW w:type="dxa" w:w="1440"/>
          </w:tcPr>
          <w:p>
            <w:r>
              <w:t>Expand Force Majeure scope to include all sub-tier suppliers and logistics providers where feasible.</w:t>
            </w:r>
          </w:p>
        </w:tc>
      </w:tr>
      <w:tr>
        <w:tc>
          <w:tcPr>
            <w:tcW w:type="dxa" w:w="1440"/>
          </w:tcPr>
          <w:p>
            <w:r>
              <w:t>Force Majeure</w:t>
            </w:r>
          </w:p>
        </w:tc>
        <w:tc>
          <w:tcPr>
            <w:tcW w:type="dxa" w:w="1440"/>
          </w:tcPr>
          <w:p>
            <w:r>
              <w:t>Applies to subcontractors</w:t>
            </w:r>
          </w:p>
        </w:tc>
        <w:tc>
          <w:tcPr>
            <w:tcW w:type="dxa" w:w="1440"/>
          </w:tcPr>
          <w:p>
            <w:r>
              <w:t>Amber</w:t>
            </w:r>
          </w:p>
        </w:tc>
        <w:tc>
          <w:tcPr>
            <w:tcW w:type="dxa" w:w="1440"/>
          </w:tcPr>
          <w:p>
            <w:r>
              <w:t>Limited force majeure protection for subcontractors exposes the party.</w:t>
            </w:r>
          </w:p>
        </w:tc>
        <w:tc>
          <w:tcPr>
            <w:tcW w:type="dxa" w:w="1440"/>
          </w:tcPr>
          <w:p>
            <w:r>
              <w:t>The clause only applies to named Tier-1 suppliers and approved logistics, excluding other sub-contractors. This creates a significant risk if unforeseen events disrupt the supply chain beyond approved vendors, leading to potential delays, cost overruns, and unmet obligations without recourse.</w:t>
            </w:r>
          </w:p>
        </w:tc>
        <w:tc>
          <w:tcPr>
            <w:tcW w:type="dxa" w:w="1440"/>
          </w:tcPr>
          <w:p>
            <w:r>
              <w:t>Require extension of force majeure protection to all subcontractors and alternate vendors.</w:t>
            </w:r>
          </w:p>
        </w:tc>
      </w:tr>
      <w:tr>
        <w:tc>
          <w:tcPr>
            <w:tcW w:type="dxa" w:w="1440"/>
          </w:tcPr>
          <w:p>
            <w:r>
              <w:t>Force Majeure</w:t>
            </w:r>
          </w:p>
        </w:tc>
        <w:tc>
          <w:tcPr>
            <w:tcW w:type="dxa" w:w="1440"/>
          </w:tcPr>
          <w:p>
            <w:r>
              <w:t>Notice obligations defined</w:t>
            </w:r>
          </w:p>
        </w:tc>
        <w:tc>
          <w:tcPr>
            <w:tcW w:type="dxa" w:w="1440"/>
          </w:tcPr>
          <w:p>
            <w:r>
              <w:t>Amber</w:t>
            </w:r>
          </w:p>
        </w:tc>
        <w:tc>
          <w:tcPr>
            <w:tcW w:type="dxa" w:w="1440"/>
          </w:tcPr>
          <w:p>
            <w:r>
              <w:t>Limited Force Majeure scope exposes the buyer to disruption.</w:t>
            </w:r>
          </w:p>
        </w:tc>
        <w:tc>
          <w:tcPr>
            <w:tcW w:type="dxa" w:w="1440"/>
          </w:tcPr>
          <w:p>
            <w:r>
              <w:t>The clause's restricted application to Tier-1 suppliers and logistics carriers creates a significant vulnerability. The buyer's risk is heightened as it doesn't cover broader supply chain disruptions or internal operational issues, potentially leading to delays and increased costs.</w:t>
            </w:r>
          </w:p>
        </w:tc>
        <w:tc>
          <w:tcPr>
            <w:tcW w:type="dxa" w:w="1440"/>
          </w:tcPr>
          <w:p>
            <w:r>
              <w:t>Expand Force Majeure coverage to include all approved sub-suppliers and logistics providers within the defined scope.</w:t>
            </w:r>
          </w:p>
        </w:tc>
      </w:tr>
      <w:tr>
        <w:tc>
          <w:tcPr>
            <w:tcW w:type="dxa" w:w="1440"/>
          </w:tcPr>
          <w:p>
            <w:r>
              <w:t>Termination</w:t>
            </w:r>
          </w:p>
        </w:tc>
        <w:tc>
          <w:tcPr>
            <w:tcW w:type="dxa" w:w="1440"/>
          </w:tcPr>
          <w:p>
            <w:r>
              <w:t>Termination rights defined</w:t>
            </w:r>
          </w:p>
        </w:tc>
        <w:tc>
          <w:tcPr>
            <w:tcW w:type="dxa" w:w="1440"/>
          </w:tcPr>
          <w:p>
            <w:r>
              <w:t>Green</w:t>
            </w:r>
          </w:p>
        </w:tc>
        <w:tc>
          <w:tcPr>
            <w:tcW w:type="dxa" w:w="1440"/>
          </w:tcPr>
          <w:p>
            <w:r>
              <w:t>Delayed payment due to complex cancellation fee schedule.</w:t>
            </w:r>
          </w:p>
        </w:tc>
        <w:tc>
          <w:tcPr>
            <w:tcW w:type="dxa" w:w="1440"/>
          </w:tcPr>
          <w:p>
            <w:r>
              <w:t>The escalating percentage based on days past acknowledgement creates a potential for protracted disputes regarding the appropriate fee. This could lead to cash flow issues and operational delays, particularly with longer notice periods.</w:t>
            </w:r>
          </w:p>
        </w:tc>
        <w:tc>
          <w:tcPr>
            <w:tcW w:type="dxa" w:w="1440"/>
          </w:tcPr>
          <w:p>
            <w:r>
              <w:t>Implement a clear, standardized process for convenience cancellations, including pre-agreed timelines and documented cost calculations.</w:t>
            </w:r>
          </w:p>
        </w:tc>
      </w:tr>
      <w:tr>
        <w:tc>
          <w:tcPr>
            <w:tcW w:type="dxa" w:w="1440"/>
          </w:tcPr>
          <w:p>
            <w:r>
              <w:t>Termination</w:t>
            </w:r>
          </w:p>
        </w:tc>
        <w:tc>
          <w:tcPr>
            <w:tcW w:type="dxa" w:w="1440"/>
          </w:tcPr>
          <w:p>
            <w:r>
              <w:t>Cancellation fee structure defined</w:t>
            </w:r>
          </w:p>
        </w:tc>
        <w:tc>
          <w:tcPr>
            <w:tcW w:type="dxa" w:w="1440"/>
          </w:tcPr>
          <w:p>
            <w:r>
              <w:t>Green</w:t>
            </w:r>
          </w:p>
        </w:tc>
        <w:tc>
          <w:tcPr>
            <w:tcW w:type="dxa" w:w="1440"/>
          </w:tcPr>
          <w:p>
            <w:r>
              <w:t>Buyer exposed to escalating cancellation fees based on delay.</w:t>
            </w:r>
          </w:p>
        </w:tc>
        <w:tc>
          <w:tcPr>
            <w:tcW w:type="dxa" w:w="1440"/>
          </w:tcPr>
          <w:p>
            <w:r>
              <w:t>The clause outlines a tiered fee schedule increasing with the length of time after convenience cancellation. This creates significant financial risk for the Supplier, particularly as delays extend beyond 90 days, potentially leading to disproportionately high costs.</w:t>
            </w:r>
          </w:p>
        </w:tc>
        <w:tc>
          <w:tcPr>
            <w:tcW w:type="dxa" w:w="1440"/>
          </w:tcPr>
          <w:p>
            <w:r>
              <w:t>Cap the maximum cancellation fee at 30 days; specify a fixed fee for extended periods.</w:t>
            </w:r>
          </w:p>
        </w:tc>
      </w:tr>
      <w:tr>
        <w:tc>
          <w:tcPr>
            <w:tcW w:type="dxa" w:w="1440"/>
          </w:tcPr>
          <w:p>
            <w:r>
              <w:t>Termination</w:t>
            </w:r>
          </w:p>
        </w:tc>
        <w:tc>
          <w:tcPr>
            <w:tcW w:type="dxa" w:w="1440"/>
          </w:tcPr>
          <w:p>
            <w:r>
              <w:t>61-90 day cancellation fee 40%</w:t>
            </w:r>
          </w:p>
        </w:tc>
        <w:tc>
          <w:tcPr>
            <w:tcW w:type="dxa" w:w="1440"/>
          </w:tcPr>
          <w:p>
            <w:r>
              <w:t>Red</w:t>
            </w:r>
          </w:p>
        </w:tc>
        <w:tc>
          <w:tcPr>
            <w:tcW w:type="dxa" w:w="1440"/>
          </w:tcPr>
          <w:p>
            <w:r>
              <w:t>Non-compliance exposes the buyer to a 38% cancellation fee.</w:t>
            </w:r>
          </w:p>
        </w:tc>
        <w:tc>
          <w:tcPr>
            <w:tcW w:type="dxa" w:w="1440"/>
          </w:tcPr>
          <w:p>
            <w:r>
              <w:t>The clause mandates a 38% cancellation fee for orders cancelled within 61-90 days. The non-met status indicates this obligation is not fulfilled, creating a significant and immediate payment risk.</w:t>
            </w:r>
          </w:p>
        </w:tc>
        <w:tc>
          <w:tcPr>
            <w:tcW w:type="dxa" w:w="1440"/>
          </w:tcPr>
          <w:p>
            <w:r>
              <w:t>Require supplier to provide detailed justification for the delay if cancellation occurs within the 61-90 day window.</w:t>
            </w:r>
          </w:p>
        </w:tc>
      </w:tr>
      <w:tr>
        <w:tc>
          <w:tcPr>
            <w:tcW w:type="dxa" w:w="1440"/>
          </w:tcPr>
          <w:p>
            <w:r>
              <w:t>Suspension</w:t>
            </w:r>
          </w:p>
        </w:tc>
        <w:tc>
          <w:tcPr>
            <w:tcW w:type="dxa" w:w="1440"/>
          </w:tcPr>
          <w:p>
            <w:r>
              <w:t>Maximum 2 suspensions and 30 days aggregate</w:t>
            </w:r>
          </w:p>
        </w:tc>
        <w:tc>
          <w:tcPr>
            <w:tcW w:type="dxa" w:w="1440"/>
          </w:tcPr>
          <w:p>
            <w:r>
              <w:t>Amber</w:t>
            </w:r>
          </w:p>
        </w:tc>
        <w:tc>
          <w:tcPr>
            <w:tcW w:type="dxa" w:w="1440"/>
          </w:tcPr>
          <w:p>
            <w:r>
              <w:t>Potential for increased costs and schedule delays due to exceeding suspension limits.</w:t>
            </w:r>
          </w:p>
        </w:tc>
        <w:tc>
          <w:tcPr>
            <w:tcW w:type="dxa" w:w="1440"/>
          </w:tcPr>
          <w:p>
            <w:r>
              <w:t>The clause allows for up to two commercial convenience suspensions totaling 30 days, excluding regulatory stoppages. Partial compliance indicates the Buyer may exceed this limit, triggering compensable change order provisions if done without Supplier agreement. This creates risk of additional costs and extended timelines.</w:t>
            </w:r>
          </w:p>
        </w:tc>
        <w:tc>
          <w:tcPr>
            <w:tcW w:type="dxa" w:w="1440"/>
          </w:tcPr>
          <w:p>
            <w:r>
              <w:t>Require written supplier agreement before exceeding suspension limits; implement strict monitoring of all suspension durations.</w:t>
            </w:r>
          </w:p>
        </w:tc>
      </w:tr>
      <w:tr>
        <w:tc>
          <w:tcPr>
            <w:tcW w:type="dxa" w:w="1440"/>
          </w:tcPr>
          <w:p>
            <w:r>
              <w:t>Suspension</w:t>
            </w:r>
          </w:p>
        </w:tc>
        <w:tc>
          <w:tcPr>
            <w:tcW w:type="dxa" w:w="1440"/>
          </w:tcPr>
          <w:p>
            <w:r>
              <w:t>Supplier obligations during suspension defined</w:t>
            </w:r>
          </w:p>
        </w:tc>
        <w:tc>
          <w:tcPr>
            <w:tcW w:type="dxa" w:w="1440"/>
          </w:tcPr>
          <w:p>
            <w:r>
              <w:t>Green</w:t>
            </w:r>
          </w:p>
        </w:tc>
        <w:tc>
          <w:tcPr>
            <w:tcW w:type="dxa" w:w="1440"/>
          </w:tcPr>
          <w:p>
            <w:r>
              <w:t>Potential for increased costs and delays due to excessive suspensions.</w:t>
            </w:r>
          </w:p>
        </w:tc>
        <w:tc>
          <w:tcPr>
            <w:tcW w:type="dxa" w:w="1440"/>
          </w:tcPr>
          <w:p>
            <w:r>
              <w:t>The clause allows for up to two commercial convenience suspensions totaling 30 days. Exceeding this limit triggers a change order, potentially leading to schedule extensions, cost increases, and disputes regarding compensable events.</w:t>
            </w:r>
          </w:p>
        </w:tc>
        <w:tc>
          <w:tcPr>
            <w:tcW w:type="dxa" w:w="1440"/>
          </w:tcPr>
          <w:p>
            <w:r>
              <w:t>Establish clear criteria for 'commercial convenience' and implement proactive communication protocols with the supplier to minimize suspension requests.</w:t>
            </w:r>
          </w:p>
        </w:tc>
      </w:tr>
      <w:tr>
        <w:tc>
          <w:tcPr>
            <w:tcW w:type="dxa" w:w="1440"/>
          </w:tcPr>
          <w:p>
            <w:r>
              <w:t>Governing Law</w:t>
            </w:r>
          </w:p>
        </w:tc>
        <w:tc>
          <w:tcPr>
            <w:tcW w:type="dxa" w:w="1440"/>
          </w:tcPr>
          <w:p>
            <w:r>
              <w:t>Applicable law specified</w:t>
            </w:r>
          </w:p>
        </w:tc>
        <w:tc>
          <w:tcPr>
            <w:tcW w:type="dxa" w:w="1440"/>
          </w:tcPr>
          <w:p>
            <w:r>
              <w:t>Amber</w:t>
            </w:r>
          </w:p>
        </w:tc>
        <w:tc>
          <w:tcPr>
            <w:tcW w:type="dxa" w:w="1440"/>
          </w:tcPr>
          <w:p>
            <w:r>
              <w:t>Increased jurisdictional risk due to Indian governing law.</w:t>
            </w:r>
          </w:p>
        </w:tc>
        <w:tc>
          <w:tcPr>
            <w:tcW w:type="dxa" w:w="1440"/>
          </w:tcPr>
          <w:p>
            <w:r>
              <w:t>The Purchase Order is governed by Indian law, excluding conflict of laws principles. This creates potential legal complexities and uncertainties regarding interpretation and enforcement, particularly given the supplier's location and operations. The exclusion of conflict-of-law principles exacerbates this risk.</w:t>
            </w:r>
          </w:p>
        </w:tc>
        <w:tc>
          <w:tcPr>
            <w:tcW w:type="dxa" w:w="1440"/>
          </w:tcPr>
          <w:p>
            <w:r>
              <w:t>Specify governing law as [Insert Preferred Jurisdiction - e.g., England &amp; Wales] to mitigate jurisdictional uncertainty.</w:t>
            </w:r>
          </w:p>
        </w:tc>
      </w:tr>
      <w:tr>
        <w:tc>
          <w:tcPr>
            <w:tcW w:type="dxa" w:w="1440"/>
          </w:tcPr>
          <w:p>
            <w:r>
              <w:t>Dispute Resolution</w:t>
            </w:r>
          </w:p>
        </w:tc>
        <w:tc>
          <w:tcPr>
            <w:tcW w:type="dxa" w:w="1440"/>
          </w:tcPr>
          <w:p>
            <w:r>
              <w:t>Arbitration mechanism defined</w:t>
            </w:r>
          </w:p>
        </w:tc>
        <w:tc>
          <w:tcPr>
            <w:tcW w:type="dxa" w:w="1440"/>
          </w:tcPr>
          <w:p>
            <w:r>
              <w:t>Green</w:t>
            </w:r>
          </w:p>
        </w:tc>
        <w:tc>
          <w:tcPr>
            <w:tcW w:type="dxa" w:w="1440"/>
          </w:tcPr>
          <w:p>
            <w:r>
              <w:t>Potential for increased arbitration costs and delays.</w:t>
            </w:r>
          </w:p>
        </w:tc>
        <w:tc>
          <w:tcPr>
            <w:tcW w:type="dxa" w:w="1440"/>
          </w:tcPr>
          <w:p>
            <w:r>
              <w:t>The tiered dispute resolution process, involving a technical expert in Mumbai followed by Singapore arbitration, introduces complexity and potential for protracted legal proceedings. This could increase associated costs and timelines.</w:t>
            </w:r>
          </w:p>
        </w:tc>
        <w:tc>
          <w:tcPr>
            <w:tcW w:type="dxa" w:w="1440"/>
          </w:tcPr>
          <w:p>
            <w:r>
              <w:t>Establish clear thresholds for escalation to formal arbitration with defined cost-sharing provisions.</w:t>
            </w:r>
          </w:p>
        </w:tc>
      </w:tr>
      <w:tr>
        <w:tc>
          <w:tcPr>
            <w:tcW w:type="dxa" w:w="1440"/>
          </w:tcPr>
          <w:p>
            <w:r>
              <w:t>Dispute Resolution</w:t>
            </w:r>
          </w:p>
        </w:tc>
        <w:tc>
          <w:tcPr>
            <w:tcW w:type="dxa" w:w="1440"/>
          </w:tcPr>
          <w:p>
            <w:r>
              <w:t>Seat of arbitration specified</w:t>
            </w:r>
          </w:p>
        </w:tc>
        <w:tc>
          <w:tcPr>
            <w:tcW w:type="dxa" w:w="1440"/>
          </w:tcPr>
          <w:p>
            <w:r>
              <w:t>Green</w:t>
            </w:r>
          </w:p>
        </w:tc>
        <w:tc>
          <w:tcPr>
            <w:tcW w:type="dxa" w:w="1440"/>
          </w:tcPr>
          <w:p>
            <w:r>
              <w:t>Potential for increased arbitration costs and delays.</w:t>
            </w:r>
          </w:p>
        </w:tc>
        <w:tc>
          <w:tcPr>
            <w:tcW w:type="dxa" w:w="1440"/>
          </w:tcPr>
          <w:p>
            <w:r>
              <w:t>The two-stage dispute resolution process – initial expert determination in Mumbai followed by arbitration in Singapore – introduces complexity. The need to engage with an expert first may prolong the initial phase, increasing overall costs and delaying final resolution of the legal dispute.</w:t>
            </w:r>
          </w:p>
        </w:tc>
        <w:tc>
          <w:tcPr>
            <w:tcW w:type="dxa" w:w="1440"/>
          </w:tcPr>
          <w:p>
            <w:r>
              <w:t>Require all disputes to proceed directly to final binding arbitration in Singapore, eliminating the preliminary expert stage.</w:t>
            </w:r>
          </w:p>
        </w:tc>
      </w:tr>
      <w:tr>
        <w:tc>
          <w:tcPr>
            <w:tcW w:type="dxa" w:w="1440"/>
          </w:tcPr>
          <w:p>
            <w:r>
              <w:t>Liability</w:t>
            </w:r>
          </w:p>
        </w:tc>
        <w:tc>
          <w:tcPr>
            <w:tcW w:type="dxa" w:w="1440"/>
          </w:tcPr>
          <w:p>
            <w:r>
              <w:t>Liability carve-outs defined</w:t>
            </w:r>
          </w:p>
        </w:tc>
        <w:tc>
          <w:tcPr>
            <w:tcW w:type="dxa" w:w="1440"/>
          </w:tcPr>
          <w:p>
            <w:r>
              <w:t>Amber</w:t>
            </w:r>
          </w:p>
        </w:tc>
        <w:tc>
          <w:tcPr>
            <w:tcW w:type="dxa" w:w="1440"/>
          </w:tcPr>
          <w:p>
            <w:r>
              <w:t>Reduced liability coverage for emergency stabilization costs.</w:t>
            </w:r>
          </w:p>
        </w:tc>
        <w:tc>
          <w:tcPr>
            <w:tcW w:type="dxa" w:w="1440"/>
          </w:tcPr>
          <w:p>
            <w:r>
              <w:t>The clause limits liability to 10% of the PO value but excludes direct costs associated with safety shutdowns due to defects. This creates a significant financial exposure if emergency remediation is required, potentially exceeding the capped amount and leaving the client responsible for substantial additional expenses. It matters because it reduces protection.</w:t>
            </w:r>
          </w:p>
        </w:tc>
        <w:tc>
          <w:tcPr>
            <w:tcW w:type="dxa" w:w="1440"/>
          </w:tcPr>
          <w:p>
            <w:r>
              <w:t>Exclude emergency removal, re-installation, or temporary site stabilization costs from liability cap calculations.</w:t>
            </w:r>
          </w:p>
        </w:tc>
      </w:tr>
      <w:tr>
        <w:tc>
          <w:tcPr>
            <w:tcW w:type="dxa" w:w="1440"/>
          </w:tcPr>
          <w:p>
            <w:r>
              <w:t>Consequential Damages</w:t>
            </w:r>
          </w:p>
        </w:tc>
        <w:tc>
          <w:tcPr>
            <w:tcW w:type="dxa" w:w="1440"/>
          </w:tcPr>
          <w:p>
            <w:r>
              <w:t>Consequential damages excluded</w:t>
            </w:r>
          </w:p>
        </w:tc>
        <w:tc>
          <w:tcPr>
            <w:tcW w:type="dxa" w:w="1440"/>
          </w:tcPr>
          <w:p>
            <w:r>
              <w:t>Amber</w:t>
            </w:r>
          </w:p>
        </w:tc>
        <w:tc>
          <w:tcPr>
            <w:tcW w:type="dxa" w:w="1440"/>
          </w:tcPr>
          <w:p>
            <w:r>
              <w:t>Potential for significant liability exposure due to excluded consequential damages.</w:t>
            </w:r>
          </w:p>
        </w:tc>
        <w:tc>
          <w:tcPr>
            <w:tcW w:type="dxa" w:w="1440"/>
          </w:tcPr>
          <w:p>
            <w:r>
              <w:t>Despite excluding many types of damages, the clause retains exceptions related to breaches, fraud, and gross negligence. This leaves the party vulnerable to claims arising from unforeseen circumstances or disruptions not explicitly carved out, creating substantial financial risk.</w:t>
            </w:r>
          </w:p>
        </w:tc>
        <w:tc>
          <w:tcPr>
            <w:tcW w:type="dxa" w:w="1440"/>
          </w:tcPr>
          <w:p>
            <w:r>
              <w:t>Maintain the current exclusion of consequential damages with all stated exceptions.</w:t>
            </w:r>
          </w:p>
        </w:tc>
      </w:tr>
      <w:tr>
        <w:tc>
          <w:tcPr>
            <w:tcW w:type="dxa" w:w="1440"/>
          </w:tcPr>
          <w:p>
            <w:r>
              <w:t>Consequential Damages</w:t>
            </w:r>
          </w:p>
        </w:tc>
        <w:tc>
          <w:tcPr>
            <w:tcW w:type="dxa" w:w="1440"/>
          </w:tcPr>
          <w:p>
            <w:r>
              <w:t>Exceptions to exclusion defined</w:t>
            </w:r>
          </w:p>
        </w:tc>
        <w:tc>
          <w:tcPr>
            <w:tcW w:type="dxa" w:w="1440"/>
          </w:tcPr>
          <w:p>
            <w:r>
              <w:t>Amber</w:t>
            </w:r>
          </w:p>
        </w:tc>
        <w:tc>
          <w:tcPr>
            <w:tcW w:type="dxa" w:w="1440"/>
          </w:tcPr>
          <w:p>
            <w:r>
              <w:t>Potential for significant liability exposure beyond PO value.</w:t>
            </w:r>
          </w:p>
        </w:tc>
        <w:tc>
          <w:tcPr>
            <w:tcW w:type="dxa" w:w="1440"/>
          </w:tcPr>
          <w:p>
            <w:r>
              <w:t>The clause limits consequential damages but includes numerous exceptions (confidentiality, indemnity, infringement, gross negligence, etc.). These carve-outs significantly reduce the protection against unforeseen losses related to breaches or misconduct, creating substantial legal and financial risk. This exposes the company to potentially unlimited liability.</w:t>
            </w:r>
          </w:p>
        </w:tc>
        <w:tc>
          <w:tcPr>
            <w:tcW w:type="dxa" w:w="1440"/>
          </w:tcPr>
          <w:p>
            <w:r>
              <w:t>Exclude all listed exceptions from the consequential damages waiver.</w:t>
            </w:r>
          </w:p>
        </w:tc>
      </w:tr>
      <w:tr>
        <w:tc>
          <w:tcPr>
            <w:tcW w:type="dxa" w:w="1440"/>
          </w:tcPr>
          <w:p>
            <w:r>
              <w:t>Payment Terms</w:t>
            </w:r>
          </w:p>
        </w:tc>
        <w:tc>
          <w:tcPr>
            <w:tcW w:type="dxa" w:w="1440"/>
          </w:tcPr>
          <w:p>
            <w:r>
              <w:t>All payments Net 30 days from invoice</w:t>
            </w:r>
          </w:p>
        </w:tc>
        <w:tc>
          <w:tcPr>
            <w:tcW w:type="dxa" w:w="1440"/>
          </w:tcPr>
          <w:p>
            <w:r>
              <w:t>Amber</w:t>
            </w:r>
          </w:p>
        </w:tc>
        <w:tc>
          <w:tcPr>
            <w:tcW w:type="dxa" w:w="1440"/>
          </w:tcPr>
          <w:p>
            <w:r>
              <w:t>Delayed payment exposures due to acceptance exceptions.</w:t>
            </w:r>
          </w:p>
        </w:tc>
        <w:tc>
          <w:tcPr>
            <w:tcW w:type="dxa" w:w="1440"/>
          </w:tcPr>
          <w:p>
            <w:r>
              <w:t>The clause's reliance on 'acceptance record' introduces uncertainty regarding invoice date triggering payments. This creates potential delays, impacting cash flow and supplier relationships, exposing the buyer to late payment penalties and disputes.</w:t>
            </w:r>
          </w:p>
        </w:tc>
        <w:tc>
          <w:tcPr>
            <w:tcW w:type="dxa" w:w="1440"/>
          </w:tcPr>
          <w:p>
            <w:r>
              <w:t>Specify 'Net 30 days from valid invoice receipt' with objective acceptance criteria and defined dispute resolution process.</w:t>
            </w:r>
          </w:p>
        </w:tc>
      </w:tr>
    </w:tbl>
    <w:p>
      <w:r>
        <w:br w:type="page"/>
      </w:r>
    </w:p>
    <w:p>
      <w:pPr>
        <w:pStyle w:val="Heading2"/>
      </w:pPr>
      <w:r>
        <w:t>Table 3 - Mitigation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t>Clause</w:t>
            </w:r>
          </w:p>
        </w:tc>
        <w:tc>
          <w:tcPr>
            <w:tcW w:type="dxa" w:w="2880"/>
          </w:tcPr>
          <w:p>
            <w:r>
              <w:t>Risk</w:t>
            </w:r>
          </w:p>
        </w:tc>
        <w:tc>
          <w:tcPr>
            <w:tcW w:type="dxa" w:w="2880"/>
          </w:tcPr>
          <w:p>
            <w:r>
              <w:t>Mitigation Recommendation</w:t>
            </w:r>
          </w:p>
        </w:tc>
      </w:tr>
      <w:tr>
        <w:tc>
          <w:tcPr>
            <w:tcW w:type="dxa" w:w="2880"/>
          </w:tcPr>
          <w:p>
            <w:r>
              <w:t>Payment Terms</w:t>
            </w:r>
          </w:p>
        </w:tc>
        <w:tc>
          <w:tcPr>
            <w:tcW w:type="dxa" w:w="2880"/>
          </w:tcPr>
          <w:p>
            <w:r>
              <w:t>45% Minimum Advance</w:t>
            </w:r>
          </w:p>
        </w:tc>
        <w:tc>
          <w:tcPr>
            <w:tcW w:type="dxa" w:w="2880"/>
          </w:tcPr>
          <w:p>
            <w:r>
              <w:t>Require documented evidence of completion of all conditions within 10 business days of PO acknowledgement.</w:t>
            </w:r>
          </w:p>
        </w:tc>
      </w:tr>
      <w:tr>
        <w:tc>
          <w:tcPr>
            <w:tcW w:type="dxa" w:w="2880"/>
          </w:tcPr>
          <w:p>
            <w:r>
              <w:t>Bank Guarantees</w:t>
            </w:r>
          </w:p>
        </w:tc>
        <w:tc>
          <w:tcPr>
            <w:tcW w:type="dxa" w:w="2880"/>
          </w:tcPr>
          <w:p>
            <w:r>
              <w:t>Performance Guarantee not exceeding 10%</w:t>
            </w:r>
          </w:p>
        </w:tc>
        <w:tc>
          <w:tcPr>
            <w:tcW w:type="dxa" w:w="2880"/>
          </w:tcPr>
          <w:p>
            <w:r>
              <w:t>Reduce total security obligations to a maximum of 10 percent, excluding any additional bridge guarantees.</w:t>
            </w:r>
          </w:p>
        </w:tc>
      </w:tr>
      <w:tr>
        <w:tc>
          <w:tcPr>
            <w:tcW w:type="dxa" w:w="2880"/>
          </w:tcPr>
          <w:p>
            <w:r>
              <w:t>Liquidated Damages</w:t>
            </w:r>
          </w:p>
        </w:tc>
        <w:tc>
          <w:tcPr>
            <w:tcW w:type="dxa" w:w="2880"/>
          </w:tcPr>
          <w:p>
            <w:r>
              <w:t>Documentation LD not applicable</w:t>
            </w:r>
          </w:p>
        </w:tc>
        <w:tc>
          <w:tcPr>
            <w:tcW w:type="dxa" w:w="2880"/>
          </w:tcPr>
          <w:p>
            <w:r>
              <w:t>Reduce aggregate LD and service-credit exposure to a maximum of 5 percent of PO value.</w:t>
            </w:r>
          </w:p>
        </w:tc>
      </w:tr>
      <w:tr>
        <w:tc>
          <w:tcPr>
            <w:tcW w:type="dxa" w:w="2880"/>
          </w:tcPr>
          <w:p>
            <w:r>
              <w:t>Liquidated Damages</w:t>
            </w:r>
          </w:p>
        </w:tc>
        <w:tc>
          <w:tcPr>
            <w:tcW w:type="dxa" w:w="2880"/>
          </w:tcPr>
          <w:p>
            <w:r>
              <w:t>Equipment Delivery LD 0.5% per week</w:t>
            </w:r>
          </w:p>
        </w:tc>
        <w:tc>
          <w:tcPr>
            <w:tcW w:type="dxa" w:w="2880"/>
          </w:tcPr>
          <w:p>
            <w:r>
              <w:t>Reduce aggregate LD and service-credit exposure to a maximum of 7.5 percent of PO value.</w:t>
            </w:r>
          </w:p>
        </w:tc>
      </w:tr>
      <w:tr>
        <w:tc>
          <w:tcPr>
            <w:tcW w:type="dxa" w:w="2880"/>
          </w:tcPr>
          <w:p>
            <w:r>
              <w:t>Liquidated Damages</w:t>
            </w:r>
          </w:p>
        </w:tc>
        <w:tc>
          <w:tcPr>
            <w:tcW w:type="dxa" w:w="2880"/>
          </w:tcPr>
          <w:p>
            <w:r>
              <w:t>Equipment Delivery LD capped at 5%</w:t>
            </w:r>
          </w:p>
        </w:tc>
        <w:tc>
          <w:tcPr>
            <w:tcW w:type="dxa" w:w="2880"/>
          </w:tcPr>
          <w:p>
            <w:r>
              <w:t>Reduce aggregate LD and service-credit exposure to a maximum of 5 percent of PO value.</w:t>
            </w:r>
          </w:p>
        </w:tc>
      </w:tr>
      <w:tr>
        <w:tc>
          <w:tcPr>
            <w:tcW w:type="dxa" w:w="2880"/>
          </w:tcPr>
          <w:p>
            <w:r>
              <w:t>Liquidated Damages</w:t>
            </w:r>
          </w:p>
        </w:tc>
        <w:tc>
          <w:tcPr>
            <w:tcW w:type="dxa" w:w="2880"/>
          </w:tcPr>
          <w:p>
            <w:r>
              <w:t>Aggregate LD capped at 5% PO value</w:t>
            </w:r>
          </w:p>
        </w:tc>
        <w:tc>
          <w:tcPr>
            <w:tcW w:type="dxa" w:w="2880"/>
          </w:tcPr>
          <w:p>
            <w:r>
              <w:t>Reduce aggregate LD and service-credit exposure to a maximum of 5 percent of PO value.</w:t>
            </w:r>
          </w:p>
        </w:tc>
      </w:tr>
      <w:tr>
        <w:tc>
          <w:tcPr>
            <w:tcW w:type="dxa" w:w="2880"/>
          </w:tcPr>
          <w:p>
            <w:r>
              <w:t>Liquidated Damages</w:t>
            </w:r>
          </w:p>
        </w:tc>
        <w:tc>
          <w:tcPr>
            <w:tcW w:type="dxa" w:w="2880"/>
          </w:tcPr>
          <w:p>
            <w:r>
              <w:t>Remedial Work LD not applicable</w:t>
            </w:r>
          </w:p>
        </w:tc>
        <w:tc>
          <w:tcPr>
            <w:tcW w:type="dxa" w:w="2880"/>
          </w:tcPr>
          <w:p>
            <w:r>
              <w:t>Reduce aggregate LD and service-credit exposure to a maximum of 5 percent of PO value.</w:t>
            </w:r>
          </w:p>
        </w:tc>
      </w:tr>
      <w:tr>
        <w:tc>
          <w:tcPr>
            <w:tcW w:type="dxa" w:w="2880"/>
          </w:tcPr>
          <w:p>
            <w:r>
              <w:t>Guarantee</w:t>
            </w:r>
          </w:p>
        </w:tc>
        <w:tc>
          <w:tcPr>
            <w:tcW w:type="dxa" w:w="2880"/>
          </w:tcPr>
          <w:p>
            <w:r>
              <w:t>Warranty period defined</w:t>
            </w:r>
          </w:p>
        </w:tc>
        <w:tc>
          <w:tcPr>
            <w:tcW w:type="dxa" w:w="2880"/>
          </w:tcPr>
          <w:p>
            <w:r>
              <w:t>Reduce the remedial guarantee to eighteen months from original dispatch.</w:t>
            </w:r>
          </w:p>
        </w:tc>
      </w:tr>
      <w:tr>
        <w:tc>
          <w:tcPr>
            <w:tcW w:type="dxa" w:w="2880"/>
          </w:tcPr>
          <w:p>
            <w:r>
              <w:t>Guarantee</w:t>
            </w:r>
          </w:p>
        </w:tc>
        <w:tc>
          <w:tcPr>
            <w:tcW w:type="dxa" w:w="2880"/>
          </w:tcPr>
          <w:p>
            <w:r>
              <w:t>2 months from commissioning or 18 months from dispatch</w:t>
            </w:r>
          </w:p>
        </w:tc>
        <w:tc>
          <w:tcPr>
            <w:tcW w:type="dxa" w:w="2880"/>
          </w:tcPr>
          <w:p>
            <w:r>
              <w:t>Limit the overall guarantee period to the shortest duration – eighteen months from dispatch.</w:t>
            </w:r>
          </w:p>
        </w:tc>
      </w:tr>
      <w:tr>
        <w:tc>
          <w:tcPr>
            <w:tcW w:type="dxa" w:w="2880"/>
          </w:tcPr>
          <w:p>
            <w:r>
              <w:t>Guarantee</w:t>
            </w:r>
          </w:p>
        </w:tc>
        <w:tc>
          <w:tcPr>
            <w:tcW w:type="dxa" w:w="2880"/>
          </w:tcPr>
          <w:p>
            <w:r>
              <w:t>Repair/replacement warranty obligations defined</w:t>
            </w:r>
          </w:p>
        </w:tc>
        <w:tc>
          <w:tcPr>
            <w:tcW w:type="dxa" w:w="2880"/>
          </w:tcPr>
          <w:p>
            <w:r>
              <w:t>Extend the remedial guarantee to a minimum of thirty-six months from original dispatch.</w:t>
            </w:r>
          </w:p>
        </w:tc>
      </w:tr>
      <w:tr>
        <w:tc>
          <w:tcPr>
            <w:tcW w:type="dxa" w:w="2880"/>
          </w:tcPr>
          <w:p>
            <w:r>
              <w:t>Force Majeure</w:t>
            </w:r>
          </w:p>
        </w:tc>
        <w:tc>
          <w:tcPr>
            <w:tcW w:type="dxa" w:w="2880"/>
          </w:tcPr>
          <w:p>
            <w:r>
              <w:t>Force majeure events defined</w:t>
            </w:r>
          </w:p>
        </w:tc>
        <w:tc>
          <w:tcPr>
            <w:tcW w:type="dxa" w:w="2880"/>
          </w:tcPr>
          <w:p>
            <w:r>
              <w:t>Expand Force Majeure scope to include all sub-tier suppliers and logistics providers where feasible.</w:t>
            </w:r>
          </w:p>
        </w:tc>
      </w:tr>
      <w:tr>
        <w:tc>
          <w:tcPr>
            <w:tcW w:type="dxa" w:w="2880"/>
          </w:tcPr>
          <w:p>
            <w:r>
              <w:t>Force Majeure</w:t>
            </w:r>
          </w:p>
        </w:tc>
        <w:tc>
          <w:tcPr>
            <w:tcW w:type="dxa" w:w="2880"/>
          </w:tcPr>
          <w:p>
            <w:r>
              <w:t>Applies to subcontractors</w:t>
            </w:r>
          </w:p>
        </w:tc>
        <w:tc>
          <w:tcPr>
            <w:tcW w:type="dxa" w:w="2880"/>
          </w:tcPr>
          <w:p>
            <w:r>
              <w:t>Require extension of force majeure protection to all subcontractors and alternate vendors.</w:t>
            </w:r>
          </w:p>
        </w:tc>
      </w:tr>
      <w:tr>
        <w:tc>
          <w:tcPr>
            <w:tcW w:type="dxa" w:w="2880"/>
          </w:tcPr>
          <w:p>
            <w:r>
              <w:t>Force Majeure</w:t>
            </w:r>
          </w:p>
        </w:tc>
        <w:tc>
          <w:tcPr>
            <w:tcW w:type="dxa" w:w="2880"/>
          </w:tcPr>
          <w:p>
            <w:r>
              <w:t>Notice obligations defined</w:t>
            </w:r>
          </w:p>
        </w:tc>
        <w:tc>
          <w:tcPr>
            <w:tcW w:type="dxa" w:w="2880"/>
          </w:tcPr>
          <w:p>
            <w:r>
              <w:t>Expand Force Majeure coverage to include all approved sub-suppliers and logistics providers within the defined scope.</w:t>
            </w:r>
          </w:p>
        </w:tc>
      </w:tr>
      <w:tr>
        <w:tc>
          <w:tcPr>
            <w:tcW w:type="dxa" w:w="2880"/>
          </w:tcPr>
          <w:p>
            <w:r>
              <w:t>Termination</w:t>
            </w:r>
          </w:p>
        </w:tc>
        <w:tc>
          <w:tcPr>
            <w:tcW w:type="dxa" w:w="2880"/>
          </w:tcPr>
          <w:p>
            <w:r>
              <w:t>Termination rights defined</w:t>
            </w:r>
          </w:p>
        </w:tc>
        <w:tc>
          <w:tcPr>
            <w:tcW w:type="dxa" w:w="2880"/>
          </w:tcPr>
          <w:p>
            <w:r>
              <w:t>Implement a clear, standardized process for convenience cancellations, including pre-agreed timelines and documented cost calculations.</w:t>
            </w:r>
          </w:p>
        </w:tc>
      </w:tr>
      <w:tr>
        <w:tc>
          <w:tcPr>
            <w:tcW w:type="dxa" w:w="2880"/>
          </w:tcPr>
          <w:p>
            <w:r>
              <w:t>Termination</w:t>
            </w:r>
          </w:p>
        </w:tc>
        <w:tc>
          <w:tcPr>
            <w:tcW w:type="dxa" w:w="2880"/>
          </w:tcPr>
          <w:p>
            <w:r>
              <w:t>Cancellation fee structure defined</w:t>
            </w:r>
          </w:p>
        </w:tc>
        <w:tc>
          <w:tcPr>
            <w:tcW w:type="dxa" w:w="2880"/>
          </w:tcPr>
          <w:p>
            <w:r>
              <w:t>Cap the maximum cancellation fee at 30 days; specify a fixed fee for extended periods.</w:t>
            </w:r>
          </w:p>
        </w:tc>
      </w:tr>
      <w:tr>
        <w:tc>
          <w:tcPr>
            <w:tcW w:type="dxa" w:w="2880"/>
          </w:tcPr>
          <w:p>
            <w:r>
              <w:t>Termination</w:t>
            </w:r>
          </w:p>
        </w:tc>
        <w:tc>
          <w:tcPr>
            <w:tcW w:type="dxa" w:w="2880"/>
          </w:tcPr>
          <w:p>
            <w:r>
              <w:t>61-90 day cancellation fee 40%</w:t>
            </w:r>
          </w:p>
        </w:tc>
        <w:tc>
          <w:tcPr>
            <w:tcW w:type="dxa" w:w="2880"/>
          </w:tcPr>
          <w:p>
            <w:r>
              <w:t>Require supplier to provide detailed justification for the delay if cancellation occurs within the 61-90 day window.</w:t>
            </w:r>
          </w:p>
        </w:tc>
      </w:tr>
      <w:tr>
        <w:tc>
          <w:tcPr>
            <w:tcW w:type="dxa" w:w="2880"/>
          </w:tcPr>
          <w:p>
            <w:r>
              <w:t>Suspension</w:t>
            </w:r>
          </w:p>
        </w:tc>
        <w:tc>
          <w:tcPr>
            <w:tcW w:type="dxa" w:w="2880"/>
          </w:tcPr>
          <w:p>
            <w:r>
              <w:t>Maximum 2 suspensions and 30 days aggregate</w:t>
            </w:r>
          </w:p>
        </w:tc>
        <w:tc>
          <w:tcPr>
            <w:tcW w:type="dxa" w:w="2880"/>
          </w:tcPr>
          <w:p>
            <w:r>
              <w:t>Require written supplier agreement before exceeding suspension limits; implement strict monitoring of all suspension durations.</w:t>
            </w:r>
          </w:p>
        </w:tc>
      </w:tr>
      <w:tr>
        <w:tc>
          <w:tcPr>
            <w:tcW w:type="dxa" w:w="2880"/>
          </w:tcPr>
          <w:p>
            <w:r>
              <w:t>Suspension</w:t>
            </w:r>
          </w:p>
        </w:tc>
        <w:tc>
          <w:tcPr>
            <w:tcW w:type="dxa" w:w="2880"/>
          </w:tcPr>
          <w:p>
            <w:r>
              <w:t>Supplier obligations during suspension defined</w:t>
            </w:r>
          </w:p>
        </w:tc>
        <w:tc>
          <w:tcPr>
            <w:tcW w:type="dxa" w:w="2880"/>
          </w:tcPr>
          <w:p>
            <w:r>
              <w:t>Establish clear criteria for 'commercial convenience' and implement proactive communication protocols with the supplier to minimize suspension requests.</w:t>
            </w:r>
          </w:p>
        </w:tc>
      </w:tr>
      <w:tr>
        <w:tc>
          <w:tcPr>
            <w:tcW w:type="dxa" w:w="2880"/>
          </w:tcPr>
          <w:p>
            <w:r>
              <w:t>Governing Law</w:t>
            </w:r>
          </w:p>
        </w:tc>
        <w:tc>
          <w:tcPr>
            <w:tcW w:type="dxa" w:w="2880"/>
          </w:tcPr>
          <w:p>
            <w:r>
              <w:t>Applicable law specified</w:t>
            </w:r>
          </w:p>
        </w:tc>
        <w:tc>
          <w:tcPr>
            <w:tcW w:type="dxa" w:w="2880"/>
          </w:tcPr>
          <w:p>
            <w:r>
              <w:t>Specify governing law as [Insert Preferred Jurisdiction - e.g., England &amp; Wales] to mitigate jurisdictional uncertainty.</w:t>
            </w:r>
          </w:p>
        </w:tc>
      </w:tr>
      <w:tr>
        <w:tc>
          <w:tcPr>
            <w:tcW w:type="dxa" w:w="2880"/>
          </w:tcPr>
          <w:p>
            <w:r>
              <w:t>Dispute Resolution</w:t>
            </w:r>
          </w:p>
        </w:tc>
        <w:tc>
          <w:tcPr>
            <w:tcW w:type="dxa" w:w="2880"/>
          </w:tcPr>
          <w:p>
            <w:r>
              <w:t>Arbitration mechanism defined</w:t>
            </w:r>
          </w:p>
        </w:tc>
        <w:tc>
          <w:tcPr>
            <w:tcW w:type="dxa" w:w="2880"/>
          </w:tcPr>
          <w:p>
            <w:r>
              <w:t>Establish clear thresholds for escalation to formal arbitration with defined cost-sharing provisions.</w:t>
            </w:r>
          </w:p>
        </w:tc>
      </w:tr>
      <w:tr>
        <w:tc>
          <w:tcPr>
            <w:tcW w:type="dxa" w:w="2880"/>
          </w:tcPr>
          <w:p>
            <w:r>
              <w:t>Dispute Resolution</w:t>
            </w:r>
          </w:p>
        </w:tc>
        <w:tc>
          <w:tcPr>
            <w:tcW w:type="dxa" w:w="2880"/>
          </w:tcPr>
          <w:p>
            <w:r>
              <w:t>Seat of arbitration specified</w:t>
            </w:r>
          </w:p>
        </w:tc>
        <w:tc>
          <w:tcPr>
            <w:tcW w:type="dxa" w:w="2880"/>
          </w:tcPr>
          <w:p>
            <w:r>
              <w:t>Require all disputes to proceed directly to final binding arbitration in Singapore, eliminating the preliminary expert stage.</w:t>
            </w:r>
          </w:p>
        </w:tc>
      </w:tr>
      <w:tr>
        <w:tc>
          <w:tcPr>
            <w:tcW w:type="dxa" w:w="2880"/>
          </w:tcPr>
          <w:p>
            <w:r>
              <w:t>Liability</w:t>
            </w:r>
          </w:p>
        </w:tc>
        <w:tc>
          <w:tcPr>
            <w:tcW w:type="dxa" w:w="2880"/>
          </w:tcPr>
          <w:p>
            <w:r>
              <w:t>Liability carve-outs defined</w:t>
            </w:r>
          </w:p>
        </w:tc>
        <w:tc>
          <w:tcPr>
            <w:tcW w:type="dxa" w:w="2880"/>
          </w:tcPr>
          <w:p>
            <w:r>
              <w:t>Exclude emergency removal, re-installation, or temporary site stabilization costs from liability cap calculations.</w:t>
            </w:r>
          </w:p>
        </w:tc>
      </w:tr>
      <w:tr>
        <w:tc>
          <w:tcPr>
            <w:tcW w:type="dxa" w:w="2880"/>
          </w:tcPr>
          <w:p>
            <w:r>
              <w:t>Consequential Damages</w:t>
            </w:r>
          </w:p>
        </w:tc>
        <w:tc>
          <w:tcPr>
            <w:tcW w:type="dxa" w:w="2880"/>
          </w:tcPr>
          <w:p>
            <w:r>
              <w:t>Consequential damages excluded</w:t>
            </w:r>
          </w:p>
        </w:tc>
        <w:tc>
          <w:tcPr>
            <w:tcW w:type="dxa" w:w="2880"/>
          </w:tcPr>
          <w:p>
            <w:r>
              <w:t>Maintain the current exclusion of consequential damages with all stated exceptions.</w:t>
            </w:r>
          </w:p>
        </w:tc>
      </w:tr>
      <w:tr>
        <w:tc>
          <w:tcPr>
            <w:tcW w:type="dxa" w:w="2880"/>
          </w:tcPr>
          <w:p>
            <w:r>
              <w:t>Consequential Damages</w:t>
            </w:r>
          </w:p>
        </w:tc>
        <w:tc>
          <w:tcPr>
            <w:tcW w:type="dxa" w:w="2880"/>
          </w:tcPr>
          <w:p>
            <w:r>
              <w:t>Exceptions to exclusion defined</w:t>
            </w:r>
          </w:p>
        </w:tc>
        <w:tc>
          <w:tcPr>
            <w:tcW w:type="dxa" w:w="2880"/>
          </w:tcPr>
          <w:p>
            <w:r>
              <w:t>Exclude all listed exceptions from the consequential damages waiver.</w:t>
            </w:r>
          </w:p>
        </w:tc>
      </w:tr>
      <w:tr>
        <w:tc>
          <w:tcPr>
            <w:tcW w:type="dxa" w:w="2880"/>
          </w:tcPr>
          <w:p>
            <w:r>
              <w:t>Payment Terms</w:t>
            </w:r>
          </w:p>
        </w:tc>
        <w:tc>
          <w:tcPr>
            <w:tcW w:type="dxa" w:w="2880"/>
          </w:tcPr>
          <w:p>
            <w:r>
              <w:t>All payments Net 30 days from invoice</w:t>
            </w:r>
          </w:p>
        </w:tc>
        <w:tc>
          <w:tcPr>
            <w:tcW w:type="dxa" w:w="2880"/>
          </w:tcPr>
          <w:p>
            <w:r>
              <w:t>Specify 'Net 30 days from valid invoice receipt' with objective acceptance criteria and defined dispute resolution process.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