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Summary of Key Details</w:t>
            </w:r>
          </w:p>
        </w:tc>
        <w:tc>
          <w:tcPr>
            <w:tcW w:type="dxa" w:w="1440"/>
          </w:tcPr>
          <w:p>
            <w:r>
              <w:t>Status</w:t>
            </w:r>
          </w:p>
        </w:tc>
        <w:tc>
          <w:tcPr>
            <w:tcW w:type="dxa" w:w="1440"/>
          </w:tcPr>
          <w:p>
            <w:r>
              <w:t>Evidence</w:t>
            </w:r>
          </w:p>
        </w:tc>
        <w:tc>
          <w:tcPr>
            <w:tcW w:type="dxa" w:w="1440"/>
          </w:tcPr>
          <w:p>
            <w:r>
              <w:t>Assessor Remarks</w:t>
            </w:r>
          </w:p>
        </w:tc>
      </w:tr>
      <w:tr>
        <w:tc>
          <w:tcPr>
            <w:tcW w:type="dxa" w:w="1440"/>
          </w:tcPr>
          <w:p>
            <w:r>
              <w:t>Payment Terms</w:t>
            </w:r>
          </w:p>
        </w:tc>
        <w:tc>
          <w:tcPr>
            <w:tcW w:type="dxa" w:w="1440"/>
          </w:tcPr>
          <w:p>
            <w:r>
              <w:t>45% Minimum Advance</w:t>
            </w:r>
          </w:p>
        </w:tc>
        <w:tc>
          <w:tcPr>
            <w:tcW w:type="dxa" w:w="144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1440"/>
          </w:tcPr>
          <w:p>
            <w:r>
              <w:t>Partially Met</w:t>
            </w:r>
          </w:p>
        </w:tc>
        <w:tc>
          <w:tcPr>
            <w:tcW w:type="dxa" w:w="1440"/>
          </w:tcPr>
          <w:p>
            <w:r>
              <w:t>This retention clause is not intended to reduce the agreed advance percentage but can</w:t>
              <w:br/>
              <w:t>affect payment timing.</w:t>
            </w:r>
          </w:p>
        </w:tc>
        <w:tc>
          <w:tcPr>
            <w:tcW w:type="dxa" w:w="1440"/>
          </w:tcPr>
          <w:p>
            <w:r>
              <w:t>Advance payment split across conditions</w:t>
            </w:r>
          </w:p>
        </w:tc>
      </w:tr>
      <w:tr>
        <w:tc>
          <w:tcPr>
            <w:tcW w:type="dxa" w:w="1440"/>
          </w:tcPr>
          <w:p>
            <w:r>
              <w:t>Bank Guarantees</w:t>
            </w:r>
          </w:p>
        </w:tc>
        <w:tc>
          <w:tcPr>
            <w:tcW w:type="dxa" w:w="1440"/>
          </w:tcPr>
          <w:p>
            <w:r>
              <w:t>Performance Guarantee not exceeding 10%</w:t>
            </w:r>
          </w:p>
        </w:tc>
        <w:tc>
          <w:tcPr>
            <w:tcW w:type="dxa" w:w="1440"/>
          </w:tcPr>
          <w:p>
            <w:r>
              <w:t>1 Performance bank guarantee. Supplier shall furnish an unconditional performance bank guarantee equal to ten percent (10%) of the Purchase Order value, valid until expiry of the standard guarantee period plus ninety (90) days. Agent Test Input - Complex Contract Terms 00511</w:t>
            </w:r>
          </w:p>
        </w:tc>
        <w:tc>
          <w:tcPr>
            <w:tcW w:type="dxa" w:w="1440"/>
          </w:tcPr>
          <w:p>
            <w:r>
              <w:t>Not Met</w:t>
            </w:r>
          </w:p>
        </w:tc>
        <w:tc>
          <w:tcPr>
            <w:tcW w:type="dxa" w:w="1440"/>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440"/>
          </w:tcPr>
          <w:p>
            <w:r>
              <w:t>Total security obligations found: 12.0%</w:t>
            </w:r>
          </w:p>
        </w:tc>
      </w:tr>
      <w:tr>
        <w:tc>
          <w:tcPr>
            <w:tcW w:type="dxa" w:w="1440"/>
          </w:tcPr>
          <w:p>
            <w:r>
              <w:t>Bank Guarantees</w:t>
            </w:r>
          </w:p>
        </w:tc>
        <w:tc>
          <w:tcPr>
            <w:tcW w:type="dxa" w:w="1440"/>
          </w:tcPr>
          <w:p>
            <w:r>
              <w:t>Bank Guarantee validity period defined</w:t>
            </w:r>
          </w:p>
        </w:tc>
        <w:tc>
          <w:tcPr>
            <w:tcW w:type="dxa" w:w="1440"/>
          </w:tcPr>
          <w:p>
            <w:r>
              <w:t>1 Performance bank guarantee. Supplier shall furnish an unconditional performance bank guarantee equal to ten percent (10%) of the Purchase Order value, valid until expiry of the standard guarantee period plus ninety (90) days. Agent Test Input - Complex Contract Terms 00511</w:t>
            </w:r>
          </w:p>
        </w:tc>
        <w:tc>
          <w:tcPr>
            <w:tcW w:type="dxa" w:w="1440"/>
          </w:tcPr>
          <w:p>
            <w:r>
              <w:t>Met</w:t>
            </w:r>
          </w:p>
        </w:tc>
        <w:tc>
          <w:tcPr>
            <w:tcW w:type="dxa" w:w="1440"/>
          </w:tcPr>
          <w:p>
            <w:r>
              <w:t>Supplier shall furnish an unconditional performance bank guarantee equal to ten percent (10%)</w:t>
              <w:br/>
              <w:t>of the Purchase Order value, valid until expiry of the standard guarantee period plus ninety (90) days.</w:t>
            </w:r>
          </w:p>
        </w:tc>
        <w:tc>
          <w:tcPr>
            <w:tcW w:type="dxa" w:w="1440"/>
          </w:tcPr>
          <w:p>
            <w:r>
              <w:t>Supplier shall furnish an unconditional performance bank guarantee equal to ten percent (10%)</w:t>
              <w:br/>
              <w:t>of the Purchase Order value, valid until expiry of the standard guarantee period plus ninety (90) days.</w:t>
            </w:r>
          </w:p>
        </w:tc>
      </w:tr>
      <w:tr>
        <w:tc>
          <w:tcPr>
            <w:tcW w:type="dxa" w:w="1440"/>
          </w:tcPr>
          <w:p>
            <w:r>
              <w:t>Liquidated Damages</w:t>
            </w:r>
          </w:p>
        </w:tc>
        <w:tc>
          <w:tcPr>
            <w:tcW w:type="dxa" w:w="1440"/>
          </w:tcPr>
          <w:p>
            <w:r>
              <w:t>Documentation LD not applicable</w:t>
            </w:r>
          </w:p>
        </w:tc>
        <w:tc>
          <w:tcPr>
            <w:tcW w:type="dxa" w:w="144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1440"/>
          </w:tcPr>
          <w:p>
            <w:r>
              <w:t>Partially Met</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r>
      <w:tr>
        <w:tc>
          <w:tcPr>
            <w:tcW w:type="dxa" w:w="1440"/>
          </w:tcPr>
          <w:p>
            <w:r>
              <w:t>Liquidated Damages</w:t>
            </w:r>
          </w:p>
        </w:tc>
        <w:tc>
          <w:tcPr>
            <w:tcW w:type="dxa" w:w="1440"/>
          </w:tcPr>
          <w:p>
            <w:r>
              <w:t>Equipment Delivery LD 0.5% per week</w:t>
            </w:r>
          </w:p>
        </w:tc>
        <w:tc>
          <w:tcPr>
            <w:tcW w:type="dxa" w:w="144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1440"/>
          </w:tcPr>
          <w:p>
            <w:r>
              <w:t>Partially Met</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r>
      <w:tr>
        <w:tc>
          <w:tcPr>
            <w:tcW w:type="dxa" w:w="1440"/>
          </w:tcPr>
          <w:p>
            <w:r>
              <w:t>Liquidated Damages</w:t>
            </w:r>
          </w:p>
        </w:tc>
        <w:tc>
          <w:tcPr>
            <w:tcW w:type="dxa" w:w="1440"/>
          </w:tcPr>
          <w:p>
            <w:r>
              <w:t>Equipment Delivery LD capped at 5%</w:t>
            </w:r>
          </w:p>
        </w:tc>
        <w:tc>
          <w:tcPr>
            <w:tcW w:type="dxa" w:w="144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1440"/>
          </w:tcPr>
          <w:p>
            <w:r>
              <w:t>Partially Met</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r>
      <w:tr>
        <w:tc>
          <w:tcPr>
            <w:tcW w:type="dxa" w:w="1440"/>
          </w:tcPr>
          <w:p>
            <w:r>
              <w:t>Liquidated Damages</w:t>
            </w:r>
          </w:p>
        </w:tc>
        <w:tc>
          <w:tcPr>
            <w:tcW w:type="dxa" w:w="1440"/>
          </w:tcPr>
          <w:p>
            <w:r>
              <w:t>Aggregate LD capped at 5% PO value</w:t>
            </w:r>
          </w:p>
        </w:tc>
        <w:tc>
          <w:tcPr>
            <w:tcW w:type="dxa" w:w="144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1440"/>
          </w:tcPr>
          <w:p>
            <w:r>
              <w:t>Not Met</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Found 7.5% cap</w:t>
            </w:r>
          </w:p>
        </w:tc>
      </w:tr>
      <w:tr>
        <w:tc>
          <w:tcPr>
            <w:tcW w:type="dxa" w:w="1440"/>
          </w:tcPr>
          <w:p>
            <w:r>
              <w:t>Liquidated Damages</w:t>
            </w:r>
          </w:p>
        </w:tc>
        <w:tc>
          <w:tcPr>
            <w:tcW w:type="dxa" w:w="1440"/>
          </w:tcPr>
          <w:p>
            <w:r>
              <w:t>Remedial Work LD not applicable</w:t>
            </w:r>
          </w:p>
        </w:tc>
        <w:tc>
          <w:tcPr>
            <w:tcW w:type="dxa" w:w="1440"/>
          </w:tcPr>
          <w:p>
            <w:r>
              <w:t>1 Documentation and engineering submittals. Delay in routine manuals, vendor data books, certificates, or non-critical engineering submittals shall not attract standalone liquidated damages. However, delay in a document identified as a Critical Dispatch Document in Annex B that directly prevents FAT release shall be treated as a delay in equipment delivery for the affected lot</w:t>
            </w:r>
          </w:p>
        </w:tc>
        <w:tc>
          <w:tcPr>
            <w:tcW w:type="dxa" w:w="1440"/>
          </w:tcPr>
          <w:p>
            <w:r>
              <w:t>Partially Met</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r>
      <w:tr>
        <w:tc>
          <w:tcPr>
            <w:tcW w:type="dxa" w:w="1440"/>
          </w:tcPr>
          <w:p>
            <w:r>
              <w:t>Guarantee</w:t>
            </w:r>
          </w:p>
        </w:tc>
        <w:tc>
          <w:tcPr>
            <w:tcW w:type="dxa" w:w="1440"/>
          </w:tcPr>
          <w:p>
            <w:r>
              <w:t>Warranty period defined</w:t>
            </w:r>
          </w:p>
        </w:tc>
        <w:tc>
          <w:tcPr>
            <w:tcW w:type="dxa" w:w="144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1440"/>
          </w:tcPr>
          <w:p>
            <w:r>
              <w:t>Partially Met</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r>
      <w:tr>
        <w:tc>
          <w:tcPr>
            <w:tcW w:type="dxa" w:w="1440"/>
          </w:tcPr>
          <w:p>
            <w:r>
              <w:t>Guarantee</w:t>
            </w:r>
          </w:p>
        </w:tc>
        <w:tc>
          <w:tcPr>
            <w:tcW w:type="dxa" w:w="1440"/>
          </w:tcPr>
          <w:p>
            <w:r>
              <w:t>2 months from commissioning or 18 months from dispatch</w:t>
            </w:r>
          </w:p>
        </w:tc>
        <w:tc>
          <w:tcPr>
            <w:tcW w:type="dxa" w:w="144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1440"/>
          </w:tcPr>
          <w:p>
            <w:r>
              <w:t>Partially Met</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r>
      <w:tr>
        <w:tc>
          <w:tcPr>
            <w:tcW w:type="dxa" w:w="1440"/>
          </w:tcPr>
          <w:p>
            <w:r>
              <w:t>Guarantee</w:t>
            </w:r>
          </w:p>
        </w:tc>
        <w:tc>
          <w:tcPr>
            <w:tcW w:type="dxa" w:w="1440"/>
          </w:tcPr>
          <w:p>
            <w:r>
              <w:t>Repair/replacement warranty obligations defined</w:t>
            </w:r>
          </w:p>
        </w:tc>
        <w:tc>
          <w:tcPr>
            <w:tcW w:type="dxa" w:w="1440"/>
          </w:tcPr>
          <w:p>
            <w:r>
              <w:t>Supplier guarantees the equipment for two (2) months from successful provisional commissioning or eighteen (18) months from dispatch from Supplier works, whichever occurs earlier. If commissioning is delayed solely because Buyer has not provided utilities, access, or foundation readiness for more than sixty (60) days, the commissioning limb is deemed to have started on the sixty-first day after delivery to site. Any repaired or replaced component shall be guaranteed for twelve (12) months from completion of repair or replacement, or until eighteen (18) months from original dispatch of the affected equipment, whichever occurs earlier</w:t>
            </w:r>
          </w:p>
        </w:tc>
        <w:tc>
          <w:tcPr>
            <w:tcW w:type="dxa" w:w="1440"/>
          </w:tcPr>
          <w:p>
            <w:r>
              <w:t>Partially Met</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r>
      <w:tr>
        <w:tc>
          <w:tcPr>
            <w:tcW w:type="dxa" w:w="1440"/>
          </w:tcPr>
          <w:p>
            <w:r>
              <w:t>Force Majeure</w:t>
            </w:r>
          </w:p>
        </w:tc>
        <w:tc>
          <w:tcPr>
            <w:tcW w:type="dxa" w:w="1440"/>
          </w:tcPr>
          <w:p>
            <w:r>
              <w:t>Force majeure events defined</w:t>
            </w:r>
          </w:p>
        </w:tc>
        <w:tc>
          <w:tcPr>
            <w:tcW w:type="dxa" w:w="144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1440"/>
          </w:tcPr>
          <w:p>
            <w:r>
              <w:t>Partially Met</w:t>
            </w:r>
          </w:p>
        </w:tc>
        <w:tc>
          <w:tcPr>
            <w:tcW w:type="dxa" w:w="1440"/>
          </w:tcPr>
          <w:p>
            <w:r>
              <w:t>Supplier may claim Force Majeure relief for events affecting only the Tier-1 critical sub-suppliers named</w:t>
              <w:br/>
              <w:t>in Annex D or the approved international logistics carrier.</w:t>
            </w:r>
          </w:p>
        </w:tc>
        <w:tc>
          <w:tcPr>
            <w:tcW w:type="dxa" w:w="1440"/>
          </w:tcPr>
          <w:p>
            <w:r>
              <w:t>Clause contains material limitations, exceptions, carve-outs, conditions, or restricted applicability</w:t>
            </w:r>
          </w:p>
        </w:tc>
      </w:tr>
      <w:tr>
        <w:tc>
          <w:tcPr>
            <w:tcW w:type="dxa" w:w="1440"/>
          </w:tcPr>
          <w:p>
            <w:r>
              <w:t>Force Majeure</w:t>
            </w:r>
          </w:p>
        </w:tc>
        <w:tc>
          <w:tcPr>
            <w:tcW w:type="dxa" w:w="1440"/>
          </w:tcPr>
          <w:p>
            <w:r>
              <w:t>Applies to subcontractors</w:t>
            </w:r>
          </w:p>
        </w:tc>
        <w:tc>
          <w:tcPr>
            <w:tcW w:type="dxa" w:w="144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1440"/>
          </w:tcPr>
          <w:p>
            <w:r>
              <w:t>Partially Met</w:t>
            </w:r>
          </w:p>
        </w:tc>
        <w:tc>
          <w:tcPr>
            <w:tcW w:type="dxa" w:w="1440"/>
          </w:tcPr>
          <w:p>
            <w:r>
              <w:t>Force majeure applies only to named Tier-1 / approved suppliers</w:t>
            </w:r>
          </w:p>
        </w:tc>
        <w:tc>
          <w:tcPr>
            <w:tcW w:type="dxa" w:w="1440"/>
          </w:tcPr>
          <w:p>
            <w:r>
              <w:t>Applies only to specific suppliers</w:t>
            </w:r>
          </w:p>
        </w:tc>
      </w:tr>
      <w:tr>
        <w:tc>
          <w:tcPr>
            <w:tcW w:type="dxa" w:w="1440"/>
          </w:tcPr>
          <w:p>
            <w:r>
              <w:t>Force Majeure</w:t>
            </w:r>
          </w:p>
        </w:tc>
        <w:tc>
          <w:tcPr>
            <w:tcW w:type="dxa" w:w="1440"/>
          </w:tcPr>
          <w:p>
            <w:r>
              <w:t>Notice obligations defined</w:t>
            </w:r>
          </w:p>
        </w:tc>
        <w:tc>
          <w:tcPr>
            <w:tcW w:type="dxa" w:w="144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1440"/>
          </w:tcPr>
          <w:p>
            <w:r>
              <w:t>Partially Met</w:t>
            </w:r>
          </w:p>
        </w:tc>
        <w:tc>
          <w:tcPr>
            <w:tcW w:type="dxa" w:w="1440"/>
          </w:tcPr>
          <w:p>
            <w:r>
              <w:t>Supplier may claim Force Majeure relief for events affecting only the Tier-1 critical sub-suppliers named</w:t>
              <w:br/>
              <w:t>in Annex D or the approved international logistics carrier.</w:t>
            </w:r>
          </w:p>
        </w:tc>
        <w:tc>
          <w:tcPr>
            <w:tcW w:type="dxa" w:w="1440"/>
          </w:tcPr>
          <w:p>
            <w:r>
              <w:t>Clause contains material limitations, exceptions, carve-outs, conditions, or restricted applicability</w:t>
            </w:r>
          </w:p>
        </w:tc>
      </w:tr>
      <w:tr>
        <w:tc>
          <w:tcPr>
            <w:tcW w:type="dxa" w:w="1440"/>
          </w:tcPr>
          <w:p>
            <w:r>
              <w:t>Termination</w:t>
            </w:r>
          </w:p>
        </w:tc>
        <w:tc>
          <w:tcPr>
            <w:tcW w:type="dxa" w:w="1440"/>
          </w:tcPr>
          <w:p>
            <w:r>
              <w:t>Termination rights defined</w:t>
            </w:r>
          </w:p>
        </w:tc>
        <w:tc>
          <w:tcPr>
            <w:tcW w:type="dxa" w:w="144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440"/>
          </w:tcPr>
          <w:p>
            <w:r>
              <w:t>Met</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1440"/>
          </w:tcPr>
          <w:p>
            <w:r>
              <w:t>Termination</w:t>
            </w:r>
          </w:p>
        </w:tc>
        <w:tc>
          <w:tcPr>
            <w:tcW w:type="dxa" w:w="1440"/>
          </w:tcPr>
          <w:p>
            <w:r>
              <w:t>Cancellation fee structure defined</w:t>
            </w:r>
          </w:p>
        </w:tc>
        <w:tc>
          <w:tcPr>
            <w:tcW w:type="dxa" w:w="144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440"/>
          </w:tcPr>
          <w:p>
            <w:r>
              <w:t>Met</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r>
      <w:tr>
        <w:tc>
          <w:tcPr>
            <w:tcW w:type="dxa" w:w="1440"/>
          </w:tcPr>
          <w:p>
            <w:r>
              <w:t>Termination</w:t>
            </w:r>
          </w:p>
        </w:tc>
        <w:tc>
          <w:tcPr>
            <w:tcW w:type="dxa" w:w="1440"/>
          </w:tcPr>
          <w:p>
            <w:r>
              <w:t>61-90 day cancellation fee 40%</w:t>
            </w:r>
          </w:p>
        </w:tc>
        <w:tc>
          <w:tcPr>
            <w:tcW w:type="dxa" w:w="1440"/>
          </w:tcPr>
          <w:p>
            <w:r>
              <w:t>1 Convenience cancellation schedule.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440"/>
          </w:tcPr>
          <w:p>
            <w:r>
              <w:t>Not Met</w:t>
            </w:r>
          </w:p>
        </w:tc>
        <w:tc>
          <w:tcPr>
            <w:tcW w:type="dxa" w:w="1440"/>
          </w:tcPr>
          <w:p>
            <w:r>
              <w:t>Article 00511.9 - Cancellation and Early Termination Fee</w:t>
            </w:r>
          </w:p>
        </w:tc>
        <w:tc>
          <w:tcPr>
            <w:tcW w:type="dxa" w:w="1440"/>
          </w:tcPr>
          <w:p>
            <w:r>
              <w:t>Required 40.0% not found</w:t>
            </w:r>
          </w:p>
        </w:tc>
      </w:tr>
      <w:tr>
        <w:tc>
          <w:tcPr>
            <w:tcW w:type="dxa" w:w="1440"/>
          </w:tcPr>
          <w:p>
            <w:r>
              <w:t>Suspension</w:t>
            </w:r>
          </w:p>
        </w:tc>
        <w:tc>
          <w:tcPr>
            <w:tcW w:type="dxa" w:w="1440"/>
          </w:tcPr>
          <w:p>
            <w:r>
              <w:t>Maximum 2 suspensions and 30 days aggregate</w:t>
            </w:r>
          </w:p>
        </w:tc>
        <w:tc>
          <w:tcPr>
            <w:tcW w:type="dxa" w:w="1440"/>
          </w:tcPr>
          <w:p>
            <w:r>
              <w:t>Buyer may suspend work for commercial convenience no more than two (2) times during the Purchase Order term, and the aggregate duration of such commercial-convenience suspensions shall not exceed thirty (30) calendar days unless Supplier agrees in writing. Regulatory inspection holds, government clearance waits, and safety stoppages imposed by law are not counted as suspensions for this limit. If Buyer requests a commercial-convenience suspension beyond the permitted limit, the excess period shall be treated as a compensable change order entitling Supplier to schedule extension, storage, demobilization, and reasonable remobilization costs</w:t>
            </w:r>
          </w:p>
        </w:tc>
        <w:tc>
          <w:tcPr>
            <w:tcW w:type="dxa" w:w="1440"/>
          </w:tcPr>
          <w:p>
            <w:r>
              <w:t>Partially Met</w:t>
            </w:r>
          </w:p>
        </w:tc>
        <w:tc>
          <w:tcPr>
            <w:tcW w:type="dxa" w:w="1440"/>
          </w:tcPr>
          <w:p>
            <w:r>
              <w:t>Suspension limits exclude regulatory, government, legal, and safety stoppages</w:t>
            </w:r>
          </w:p>
        </w:tc>
        <w:tc>
          <w:tcPr>
            <w:tcW w:type="dxa" w:w="1440"/>
          </w:tcPr>
          <w:p>
            <w:r>
              <w:t>Certain suspension categories excluded from limit</w:t>
            </w:r>
          </w:p>
        </w:tc>
      </w:tr>
      <w:tr>
        <w:tc>
          <w:tcPr>
            <w:tcW w:type="dxa" w:w="1440"/>
          </w:tcPr>
          <w:p>
            <w:r>
              <w:t>Suspension</w:t>
            </w:r>
          </w:p>
        </w:tc>
        <w:tc>
          <w:tcPr>
            <w:tcW w:type="dxa" w:w="1440"/>
          </w:tcPr>
          <w:p>
            <w:r>
              <w:t>Supplier obligations during suspension defined</w:t>
            </w:r>
          </w:p>
        </w:tc>
        <w:tc>
          <w:tcPr>
            <w:tcW w:type="dxa" w:w="1440"/>
          </w:tcPr>
          <w:p>
            <w:r>
              <w:t>Buyer may suspend work for commercial convenience no more than two (2) times during the Purchase Order term, and the aggregate duration of such commercial-convenience suspensions shall not exceed thirty (30) calendar days unless Supplier agrees in writing. Regulatory inspection holds, government clearance waits, and safety stoppages imposed by law are not counted as suspensions for this limit. If Buyer requests a commercial-convenience suspension beyond the permitted limit, the excess period shall be treated as a compensable change order entitling Supplier to schedule extension, storage, demobilization, and reasonable remobilization costs</w:t>
            </w:r>
          </w:p>
        </w:tc>
        <w:tc>
          <w:tcPr>
            <w:tcW w:type="dxa" w:w="1440"/>
          </w:tcPr>
          <w:p>
            <w:r>
              <w:t>Met</w:t>
            </w:r>
          </w:p>
        </w:tc>
        <w:tc>
          <w:tcPr>
            <w:tcW w:type="dxa" w:w="144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44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r>
      <w:tr>
        <w:tc>
          <w:tcPr>
            <w:tcW w:type="dxa" w:w="1440"/>
          </w:tcPr>
          <w:p>
            <w:r>
              <w:t>Change Orders</w:t>
            </w:r>
          </w:p>
        </w:tc>
        <w:tc>
          <w:tcPr>
            <w:tcW w:type="dxa" w:w="1440"/>
          </w:tcPr>
          <w:p>
            <w:r>
              <w:t>Formal amendment process defined</w:t>
            </w:r>
          </w:p>
        </w:tc>
        <w:tc>
          <w:tcPr>
            <w:tcW w:type="dxa" w:w="1440"/>
          </w:tcPr>
          <w:p>
            <w:r>
              <w:t>1 Order of precedence.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440"/>
          </w:tcPr>
          <w:p>
            <w:r>
              <w:t>Met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1440"/>
          </w:tcPr>
          <w:p>
            <w:r>
              <w:t>Change Orders</w:t>
            </w:r>
          </w:p>
        </w:tc>
        <w:tc>
          <w:tcPr>
            <w:tcW w:type="dxa" w:w="1440"/>
          </w:tcPr>
          <w:p>
            <w:r>
              <w:t>Timeline for approval defined</w:t>
            </w:r>
          </w:p>
        </w:tc>
        <w:tc>
          <w:tcPr>
            <w:tcW w:type="dxa" w:w="1440"/>
          </w:tcPr>
          <w:p>
            <w:r>
              <w:t>1 Order of precedence.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440"/>
          </w:tcPr>
          <w:p>
            <w:r>
              <w:t>Met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r>
      <w:tr>
        <w:tc>
          <w:tcPr>
            <w:tcW w:type="dxa" w:w="1440"/>
          </w:tcPr>
          <w:p>
            <w:r>
              <w:t>Governing Law</w:t>
            </w:r>
          </w:p>
        </w:tc>
        <w:tc>
          <w:tcPr>
            <w:tcW w:type="dxa" w:w="1440"/>
          </w:tcPr>
          <w:p>
            <w:r>
              <w:t>Applicable law specified</w:t>
            </w:r>
          </w:p>
        </w:tc>
        <w:tc>
          <w:tcPr>
            <w:tcW w:type="dxa" w:w="144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1440"/>
          </w:tcPr>
          <w:p>
            <w:r>
              <w:t>Partially Met</w:t>
            </w:r>
          </w:p>
        </w:tc>
        <w:tc>
          <w:tcPr>
            <w:tcW w:type="dxa" w:w="1440"/>
          </w:tcPr>
          <w:p>
            <w:r>
              <w:t>This Purchase Order and all non-contractual obligations arising out of or in connection with it shall be</w:t>
              <w:br/>
              <w:t>governed by the laws of India, excluding conflict-of-law principles.</w:t>
            </w:r>
          </w:p>
        </w:tc>
        <w:tc>
          <w:tcPr>
            <w:tcW w:type="dxa" w:w="1440"/>
          </w:tcPr>
          <w:p>
            <w:r>
              <w:t>Clause contains material limitations, exceptions, carve-outs, conditions, or restricted applicability</w:t>
            </w:r>
          </w:p>
        </w:tc>
      </w:tr>
      <w:tr>
        <w:tc>
          <w:tcPr>
            <w:tcW w:type="dxa" w:w="1440"/>
          </w:tcPr>
          <w:p>
            <w:r>
              <w:t>Dispute Resolution</w:t>
            </w:r>
          </w:p>
        </w:tc>
        <w:tc>
          <w:tcPr>
            <w:tcW w:type="dxa" w:w="1440"/>
          </w:tcPr>
          <w:p>
            <w:r>
              <w:t>Arbitration mechanism defined</w:t>
            </w:r>
          </w:p>
        </w:tc>
        <w:tc>
          <w:tcPr>
            <w:tcW w:type="dxa" w:w="144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1440"/>
          </w:tcPr>
          <w:p>
            <w:r>
              <w:t>Met</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1440"/>
          </w:tcPr>
          <w:p>
            <w:r>
              <w:t>Dispute Resolution</w:t>
            </w:r>
          </w:p>
        </w:tc>
        <w:tc>
          <w:tcPr>
            <w:tcW w:type="dxa" w:w="1440"/>
          </w:tcPr>
          <w:p>
            <w:r>
              <w:t>Seat of arbitration specified</w:t>
            </w:r>
          </w:p>
        </w:tc>
        <w:tc>
          <w:tcPr>
            <w:tcW w:type="dxa" w:w="1440"/>
          </w:tcPr>
          <w:p>
            <w:r>
              <w:t>This Purchase Order and all non-contractual obligations arising out of or in connection with it shall be governed by the laws of India, excluding conflict-of-law principles. Disputes relating to price adjustment, delay LD, warranty, cancellation fee, limitation of liability, and consequential damages shall be finally resolved by arbitration seated in Singapore under the SIAC Rules. The language of arbitration shall be English</w:t>
            </w:r>
          </w:p>
        </w:tc>
        <w:tc>
          <w:tcPr>
            <w:tcW w:type="dxa" w:w="1440"/>
          </w:tcPr>
          <w:p>
            <w:r>
              <w:t>Met</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r>
      <w:tr>
        <w:tc>
          <w:tcPr>
            <w:tcW w:type="dxa" w:w="1440"/>
          </w:tcPr>
          <w:p>
            <w:r>
              <w:t>Insurance</w:t>
            </w:r>
          </w:p>
        </w:tc>
        <w:tc>
          <w:tcPr>
            <w:tcW w:type="dxa" w:w="1440"/>
          </w:tcPr>
          <w:p>
            <w:r>
              <w:t>Insurance responsibilities defined</w:t>
            </w:r>
          </w:p>
        </w:tc>
        <w:tc>
          <w:tcPr>
            <w:tcW w:type="dxa" w:w="1440"/>
          </w:tcPr>
          <w:p>
            <w:r>
              <w:t>1 Readiness and free storage. Supplier shall issue a readiness notice after FAT clearance. If Buyer defers collection after readiness notice, Supplier shall store the affected equipment free of charge for the first three (3) working days only</w:t>
            </w:r>
          </w:p>
        </w:tc>
        <w:tc>
          <w:tcPr>
            <w:tcW w:type="dxa" w:w="1440"/>
          </w:tcPr>
          <w:p>
            <w:r>
              <w:t>Met</w:t>
            </w:r>
          </w:p>
        </w:tc>
        <w:tc>
          <w:tcPr>
            <w:tcW w:type="dxa" w:w="1440"/>
          </w:tcPr>
          <w:p>
            <w:r>
              <w:t>Article 00511.4 - Delivery, Readiness, and Storage</w:t>
            </w:r>
          </w:p>
        </w:tc>
        <w:tc>
          <w:tcPr>
            <w:tcW w:type="dxa" w:w="1440"/>
          </w:tcPr>
          <w:p>
            <w:r>
              <w:t>Article 00511.4 - Delivery, Readiness, and Storage</w:t>
            </w:r>
          </w:p>
        </w:tc>
      </w:tr>
      <w:tr>
        <w:tc>
          <w:tcPr>
            <w:tcW w:type="dxa" w:w="1440"/>
          </w:tcPr>
          <w:p>
            <w:r>
              <w:t>Insurance</w:t>
            </w:r>
          </w:p>
        </w:tc>
        <w:tc>
          <w:tcPr>
            <w:tcW w:type="dxa" w:w="1440"/>
          </w:tcPr>
          <w:p>
            <w:r>
              <w:t>Equipment damage covered while at buyer premises</w:t>
            </w:r>
          </w:p>
        </w:tc>
        <w:tc>
          <w:tcPr>
            <w:tcW w:type="dxa" w:w="1440"/>
          </w:tcPr>
          <w:p>
            <w:r>
              <w:t>1 Readiness and free storage. Supplier shall issue a readiness notice after FAT clearance. If Buyer defers collection after readiness notice, Supplier shall store the affected equipment free of charge for the first three (3) working days only</w:t>
            </w:r>
          </w:p>
        </w:tc>
        <w:tc>
          <w:tcPr>
            <w:tcW w:type="dxa" w:w="1440"/>
          </w:tcPr>
          <w:p>
            <w:r>
              <w:t>Met</w:t>
            </w:r>
          </w:p>
        </w:tc>
        <w:tc>
          <w:tcPr>
            <w:tcW w:type="dxa" w:w="1440"/>
          </w:tcPr>
          <w:p>
            <w:r>
              <w:t>Storage charges are</w:t>
              <w:br/>
              <w:t>without prejudice to Supplier's right to claim insurance or preservation costs caused by abnormal storage conditions.</w:t>
            </w:r>
          </w:p>
        </w:tc>
        <w:tc>
          <w:tcPr>
            <w:tcW w:type="dxa" w:w="1440"/>
          </w:tcPr>
          <w:p>
            <w:r>
              <w:t>Storage charges are</w:t>
              <w:br/>
              <w:t>without prejudice to Supplier's right to claim insurance or preservation costs caused by abnormal storage conditions.</w:t>
            </w:r>
          </w:p>
        </w:tc>
      </w:tr>
      <w:tr>
        <w:tc>
          <w:tcPr>
            <w:tcW w:type="dxa" w:w="1440"/>
          </w:tcPr>
          <w:p>
            <w:r>
              <w:t>Liability</w:t>
            </w:r>
          </w:p>
        </w:tc>
        <w:tc>
          <w:tcPr>
            <w:tcW w:type="dxa" w:w="1440"/>
          </w:tcPr>
          <w:p>
            <w:r>
              <w:t>Aggregate liability cap defined</w:t>
            </w:r>
          </w:p>
        </w:tc>
        <w:tc>
          <w:tcPr>
            <w:tcW w:type="dxa" w:w="1440"/>
          </w:tcPr>
          <w:p>
            <w:r>
              <w:t>1 Defect liability cap. Supplier shall correct defects arising during the guarantee period. Supplier's aggregate liability for repair or replacement of defective equipment under this Article shall not exceed ten percent (10%) of the total Purchase Order value</w:t>
            </w:r>
          </w:p>
        </w:tc>
        <w:tc>
          <w:tcPr>
            <w:tcW w:type="dxa" w:w="1440"/>
          </w:tcPr>
          <w:p>
            <w:r>
              <w:t>Met</w:t>
            </w:r>
          </w:p>
        </w:tc>
        <w:tc>
          <w:tcPr>
            <w:tcW w:type="dxa" w:w="1440"/>
          </w:tcPr>
          <w:p>
            <w:r>
              <w:t>Supplier's aggregate liability for repair</w:t>
              <w:br/>
              <w:t>or replacement of defective equipment under this Article shall not exceed ten percent (10%) of the total Purchase Order value.</w:t>
            </w:r>
          </w:p>
        </w:tc>
        <w:tc>
          <w:tcPr>
            <w:tcW w:type="dxa" w:w="1440"/>
          </w:tcPr>
          <w:p>
            <w:r>
              <w:t>Supplier's aggregate liability for repair</w:t>
              <w:br/>
              <w:t>or replacement of defective equipment under this Article shall not exceed ten percent (10%) of the total Purchase Order value.</w:t>
            </w:r>
          </w:p>
        </w:tc>
      </w:tr>
      <w:tr>
        <w:tc>
          <w:tcPr>
            <w:tcW w:type="dxa" w:w="1440"/>
          </w:tcPr>
          <w:p>
            <w:r>
              <w:t>Liability</w:t>
            </w:r>
          </w:p>
        </w:tc>
        <w:tc>
          <w:tcPr>
            <w:tcW w:type="dxa" w:w="1440"/>
          </w:tcPr>
          <w:p>
            <w:r>
              <w:t>Liability carve-outs defined</w:t>
            </w:r>
          </w:p>
        </w:tc>
        <w:tc>
          <w:tcPr>
            <w:tcW w:type="dxa" w:w="1440"/>
          </w:tcPr>
          <w:p>
            <w:r>
              <w:t>1 Defect liability cap. Supplier shall correct defects arising during the guarantee period. Supplier's aggregate liability for repair or replacement of defective equipment under this Article shall not exceed ten percent (10%) of the total Purchase Order value</w:t>
            </w:r>
          </w:p>
        </w:tc>
        <w:tc>
          <w:tcPr>
            <w:tcW w:type="dxa" w:w="1440"/>
          </w:tcPr>
          <w:p>
            <w:r>
              <w:t>Partially Met</w:t>
            </w:r>
          </w:p>
        </w:tc>
        <w:tc>
          <w:tcPr>
            <w:tcW w:type="dxa" w:w="1440"/>
          </w:tcPr>
          <w:p>
            <w:r>
              <w:t>The cap in Article 00511.8.1 does not apply to direct costs of emergency removal, re-installation, or</w:t>
              <w:br/>
              <w:t>temporary site stabilization if the defect creates a safety shutdown.</w:t>
            </w:r>
          </w:p>
        </w:tc>
        <w:tc>
          <w:tcPr>
            <w:tcW w:type="dxa" w:w="1440"/>
          </w:tcPr>
          <w:p>
            <w:r>
              <w:t>Clause contains material limitations, exceptions, carve-outs, conditions, or restricted applicability</w:t>
            </w:r>
          </w:p>
        </w:tc>
      </w:tr>
      <w:tr>
        <w:tc>
          <w:tcPr>
            <w:tcW w:type="dxa" w:w="1440"/>
          </w:tcPr>
          <w:p>
            <w:r>
              <w:t>Consequential Damages</w:t>
            </w:r>
          </w:p>
        </w:tc>
        <w:tc>
          <w:tcPr>
            <w:tcW w:type="dxa" w:w="1440"/>
          </w:tcPr>
          <w:p>
            <w:r>
              <w:t>Consequential damages excluded</w:t>
            </w:r>
          </w:p>
        </w:tc>
        <w:tc>
          <w:tcPr>
            <w:tcW w:type="dxa" w:w="1440"/>
          </w:tcPr>
          <w:p>
            <w:r>
              <w:t>1 Consequential damages waiver. Neither party shall be liable to the other for loss of revenue, loss of profit, loss of use, loss of production, downtime, loss of business opportunity, indirect damages, special damages, punitive damages, exemplary damages, or consequential damages. The exclusion in Article 00511</w:t>
            </w:r>
          </w:p>
        </w:tc>
        <w:tc>
          <w:tcPr>
            <w:tcW w:type="dxa" w:w="1440"/>
          </w:tcPr>
          <w:p>
            <w:r>
              <w:t>Partially Met</w:t>
            </w:r>
          </w:p>
        </w:tc>
        <w:tc>
          <w:tcPr>
            <w:tcW w:type="dxa" w:w="144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440"/>
          </w:tcPr>
          <w:p>
            <w:r>
              <w:t>Clause contains material limitations, exceptions, carve-outs, conditions, or restricted applicability</w:t>
            </w:r>
          </w:p>
        </w:tc>
      </w:tr>
      <w:tr>
        <w:tc>
          <w:tcPr>
            <w:tcW w:type="dxa" w:w="1440"/>
          </w:tcPr>
          <w:p>
            <w:r>
              <w:t>Consequential Damages</w:t>
            </w:r>
          </w:p>
        </w:tc>
        <w:tc>
          <w:tcPr>
            <w:tcW w:type="dxa" w:w="1440"/>
          </w:tcPr>
          <w:p>
            <w:r>
              <w:t>Exceptions to exclusion defined</w:t>
            </w:r>
          </w:p>
        </w:tc>
        <w:tc>
          <w:tcPr>
            <w:tcW w:type="dxa" w:w="1440"/>
          </w:tcPr>
          <w:p>
            <w:r>
              <w:t>1 Consequential damages waiver. Neither party shall be liable to the other for loss of revenue, loss of profit, loss of use, loss of production, downtime, loss of business opportunity, indirect damages, special damages, punitive damages, exemplary damages, or consequential damages. The exclusion in Article 00511</w:t>
            </w:r>
          </w:p>
        </w:tc>
        <w:tc>
          <w:tcPr>
            <w:tcW w:type="dxa" w:w="1440"/>
          </w:tcPr>
          <w:p>
            <w:r>
              <w:t>Partially Met</w:t>
            </w:r>
          </w:p>
        </w:tc>
        <w:tc>
          <w:tcPr>
            <w:tcW w:type="dxa" w:w="144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440"/>
          </w:tcPr>
          <w:p>
            <w:r>
              <w:t>Clause contains material limitations, exceptions, carve-outs, conditions, or restricted applicability</w:t>
            </w:r>
          </w:p>
        </w:tc>
      </w:tr>
      <w:tr>
        <w:tc>
          <w:tcPr>
            <w:tcW w:type="dxa" w:w="1440"/>
          </w:tcPr>
          <w:p>
            <w:r>
              <w:t>Critical Sub-Suppliers</w:t>
            </w:r>
          </w:p>
        </w:tc>
        <w:tc>
          <w:tcPr>
            <w:tcW w:type="dxa" w:w="1440"/>
          </w:tcPr>
          <w:p>
            <w:r>
              <w:t>Approved critical vendors identified</w:t>
            </w:r>
          </w:p>
        </w:tc>
        <w:tc>
          <w:tcPr>
            <w:tcW w:type="dxa" w:w="144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1440"/>
          </w:tcPr>
          <w:p>
            <w:r>
              <w:t>Met</w:t>
            </w:r>
          </w:p>
        </w:tc>
        <w:tc>
          <w:tcPr>
            <w:tcW w:type="dxa" w:w="1440"/>
          </w:tcPr>
          <w:p>
            <w:r>
              <w:t>Annex D approved critical sub-suppliers: BrightForge Rings Pvt.</w:t>
            </w:r>
          </w:p>
        </w:tc>
        <w:tc>
          <w:tcPr>
            <w:tcW w:type="dxa" w:w="1440"/>
          </w:tcPr>
          <w:p>
            <w:r>
              <w:t>Annex D approved critical sub-suppliers: BrightForge Rings Pvt.</w:t>
            </w:r>
          </w:p>
        </w:tc>
      </w:tr>
      <w:tr>
        <w:tc>
          <w:tcPr>
            <w:tcW w:type="dxa" w:w="1440"/>
          </w:tcPr>
          <w:p>
            <w:r>
              <w:t>Critical Sub-Suppliers</w:t>
            </w:r>
          </w:p>
        </w:tc>
        <w:tc>
          <w:tcPr>
            <w:tcW w:type="dxa" w:w="1440"/>
          </w:tcPr>
          <w:p>
            <w:r>
              <w:t>Vendor substitution restrictions defined</w:t>
            </w:r>
          </w:p>
        </w:tc>
        <w:tc>
          <w:tcPr>
            <w:tcW w:type="dxa" w:w="1440"/>
          </w:tcPr>
          <w:p>
            <w:r>
              <w:t>Force Majeure means an event beyond the reasonable control of the affected party, including Act of God, expropriation, nationalization, embargo, changes in law or regulation, war, sabotage, floods, severe weather, fires, strikes, lockouts, epidemics, pandemics, quarantine restrictions, and government action directly preventing performance. 2 Supply-chain events. Supplier may claim Force Majeure relief for events affecting only the Tier-1 critical sub-suppliers named in Annex D or the approved international logistics carrier</w:t>
            </w:r>
          </w:p>
        </w:tc>
        <w:tc>
          <w:tcPr>
            <w:tcW w:type="dxa" w:w="1440"/>
          </w:tcPr>
          <w:p>
            <w:r>
              <w:t>Met</w:t>
            </w:r>
          </w:p>
        </w:tc>
        <w:tc>
          <w:tcPr>
            <w:tcW w:type="dxa" w:w="1440"/>
          </w:tcPr>
          <w:p>
            <w:r>
              <w:t>Annex D approved critical sub-suppliers: BrightForge Rings Pvt.</w:t>
            </w:r>
          </w:p>
        </w:tc>
        <w:tc>
          <w:tcPr>
            <w:tcW w:type="dxa" w:w="1440"/>
          </w:tcPr>
          <w:p>
            <w:r>
              <w:t>Annex D approved critical sub-suppliers: BrightForge Rings Pvt.</w:t>
            </w:r>
          </w:p>
        </w:tc>
      </w:tr>
      <w:tr>
        <w:tc>
          <w:tcPr>
            <w:tcW w:type="dxa" w:w="1440"/>
          </w:tcPr>
          <w:p>
            <w:r>
              <w:t>Payment Terms</w:t>
            </w:r>
          </w:p>
        </w:tc>
        <w:tc>
          <w:tcPr>
            <w:tcW w:type="dxa" w:w="1440"/>
          </w:tcPr>
          <w:p>
            <w:r>
              <w:t>All payments Net 30 days from invoice</w:t>
            </w:r>
          </w:p>
        </w:tc>
        <w:tc>
          <w:tcPr>
            <w:tcW w:type="dxa" w:w="144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1440"/>
          </w:tcPr>
          <w:p>
            <w:r>
              <w:t>Partially Met</w:t>
            </w:r>
          </w:p>
        </w:tc>
        <w:tc>
          <w:tcPr>
            <w:tcW w:type="dxa" w:w="1440"/>
          </w:tcPr>
          <w:p>
            <w:r>
              <w:t>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440"/>
          </w:tcPr>
          <w:p>
            <w:r>
              <w:t>The requirement for Net 30 days is modified by conditions: the clock only starts upon a 'valid tax invoice', which is contingent on internal system records (GRN, inspection release, packing-list reconciliation). This creates a modified trigger for the 30-day period rather than a simple Net 30 from invoice date.</w:t>
            </w:r>
          </w:p>
        </w:tc>
      </w:tr>
      <w:tr>
        <w:tc>
          <w:tcPr>
            <w:tcW w:type="dxa" w:w="1440"/>
          </w:tcPr>
          <w:p>
            <w:r>
              <w:t>Payment Terms</w:t>
            </w:r>
          </w:p>
        </w:tc>
        <w:tc>
          <w:tcPr>
            <w:tcW w:type="dxa" w:w="1440"/>
          </w:tcPr>
          <w:p>
            <w:r>
              <w:t>Partial delivery and invoicing allowed</w:t>
            </w:r>
          </w:p>
        </w:tc>
        <w:tc>
          <w:tcPr>
            <w:tcW w:type="dxa" w:w="1440"/>
          </w:tcPr>
          <w:p>
            <w:r>
              <w:t>Subject to Supplier acknowledging the Purchase Order and furnishing the documents listed in Annex B, Buyer shall arrange an advance equal to forty-five percent (45%) of the Purchase Order value. Thirty percent (30%) is payable within five (5) business days after PO acknowledgement. The remaining fifteen percent (15%) is payable only after Buyer receives the performance bank guarantee, the project kick-off minutes signed by both parties, and the first document submission register</w:t>
            </w:r>
          </w:p>
        </w:tc>
        <w:tc>
          <w:tcPr>
            <w:tcW w:type="dxa" w:w="1440"/>
          </w:tcPr>
          <w:p>
            <w:r>
              <w:t>Met</w:t>
            </w:r>
          </w:p>
        </w:tc>
        <w:tc>
          <w:tcPr>
            <w:tcW w:type="dxa" w:w="1440"/>
          </w:tcPr>
          <w:p>
            <w:r>
              <w:t>Supplier may dispatch Lot A, Lot B, and Lot C separately and may raise a corresponding invoice for each completed lot.</w:t>
            </w:r>
          </w:p>
        </w:tc>
        <w:tc>
          <w:tcPr>
            <w:tcW w:type="dxa" w:w="1440"/>
          </w:tcPr>
          <w:p>
            <w:r>
              <w:t>The contract explicitly permits the dispatch of separate lots and corresponding invoicing for each, which satisfies the requirement for partial delivery and invoicing.</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Cash-flow and payment timing risk</w:t>
            </w:r>
          </w:p>
        </w:tc>
        <w:tc>
          <w:tcPr>
            <w:tcW w:type="dxa" w:w="1440"/>
          </w:tcPr>
          <w:p>
            <w:r>
              <w:t>The 45% advance is split into two tranches. 15% is conditional upon the delivery of a performance bank guarantee, signed kick-off minutes, and a document submission register. If these conditions are not met within 20 days, the Buyer has the discretionary right to defer payment without interest, delaying the Supplier's liquidity.</w:t>
            </w:r>
          </w:p>
        </w:tc>
        <w:tc>
          <w:tcPr>
            <w:tcW w:type="dxa" w:w="1440"/>
          </w:tcPr>
          <w:p>
            <w:r>
              <w:t>Ensure the full 45% advance is payable as a single lump sum upon PO acknowledgement and document submission without further conditional tranches.</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Financial exposure and guarantee risk</w:t>
            </w:r>
          </w:p>
        </w:tc>
        <w:tc>
          <w:tcPr>
            <w:tcW w:type="dxa" w:w="1440"/>
          </w:tcPr>
          <w:p>
            <w:r>
              <w:t>The contract mandates a 10% performance guarantee plus a 2% bridge guarantee, totaling 12% security. This exceeds the 10% requirement limit. This creates excessive capital tie-up and financial strain on the supplier, contradicting General Procurement Condition 14.2.</w:t>
            </w:r>
          </w:p>
        </w:tc>
        <w:tc>
          <w:tcPr>
            <w:tcW w:type="dxa" w:w="1440"/>
          </w:tcPr>
          <w:p>
            <w:r>
              <w:t>Limit total performance security obligations to a maximum of 10 percent of the Purchase Order value, inclusive of the bridge guarantee.</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Financial exposure due to limited liquidated damages recovery</w:t>
            </w:r>
          </w:p>
        </w:tc>
        <w:tc>
          <w:tcPr>
            <w:tcW w:type="dxa" w:w="1440"/>
          </w:tcPr>
          <w:p>
            <w:r>
              <w:t>The clause exempts routine manuals and non-critical engineering submittals from standalone liquidated damages. This creates a gap where documentation delays not categorized as Critical Dispatch Documents do not trigger financial penalties, reducing the buyer's ability to recover costs for project delays caused by poor documentation management.</w:t>
            </w:r>
          </w:p>
        </w:tc>
        <w:tc>
          <w:tcPr>
            <w:tcW w:type="dxa" w:w="1440"/>
          </w:tcPr>
          <w:p>
            <w:r>
              <w:t>Apply liquidated damages to all documentation and engineering submittal delays regardless of criticality.</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Financial exposure due to liquidated damages caps</w:t>
            </w:r>
          </w:p>
        </w:tc>
        <w:tc>
          <w:tcPr>
            <w:tcW w:type="dxa" w:w="1440"/>
          </w:tcPr>
          <w:p>
            <w:r>
              <w:t>The clause imposes a 5% cap on individual equipment delivery LDs and a 7.5% aggregate cap on total PO value. This limits the buyer's ability to recover full losses resulting from significant delivery delays, restricting the financial recourse available beyond these predefined ceilings.</w:t>
            </w:r>
          </w:p>
        </w:tc>
        <w:tc>
          <w:tcPr>
            <w:tcW w:type="dxa" w:w="1440"/>
          </w:tcPr>
          <w:p>
            <w:r>
              <w:t>Remove the 5% individual equipment cap and increase the aggregate delay exposure cap to 10% of the total Purchase Order value.</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Financial exposure due to aggregate LD cap overrun</w:t>
            </w:r>
          </w:p>
        </w:tc>
        <w:tc>
          <w:tcPr>
            <w:tcW w:type="dxa" w:w="1440"/>
          </w:tcPr>
          <w:p>
            <w:r>
              <w:t>While individual equipment delivery LD is capped at 5 percent, the aggregate cap for delivery LD, Critical Dispatch Documents, and service credits is increased to 7.5 percent of the total Purchase Order value. This exceeds the 5 percent requirement, increasing the total financial liability for the supplier.</w:t>
            </w:r>
          </w:p>
        </w:tc>
        <w:tc>
          <w:tcPr>
            <w:tcW w:type="dxa" w:w="1440"/>
          </w:tcPr>
          <w:p>
            <w:r>
              <w:t>Reduce aggregate delay exposure, including delivery LD and service credits, to a maximum of 5 percent of the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Financial liability exposure</w:t>
            </w:r>
          </w:p>
        </w:tc>
        <w:tc>
          <w:tcPr>
            <w:tcW w:type="dxa" w:w="1440"/>
          </w:tcPr>
          <w:p>
            <w:r>
              <w:t>The aggregate cap for liquidated damages and service credits is set at 7.5 percent of the total Purchase Order value, exceeding the mandatory 5 percent requirement. This increases the maximum potential financial penalty the Supplier must pay for delivery and documentation delays.</w:t>
            </w:r>
          </w:p>
        </w:tc>
        <w:tc>
          <w:tcPr>
            <w:tcW w:type="dxa" w:w="1440"/>
          </w:tcPr>
          <w:p>
            <w:r>
              <w:t>Reduce aggregate delay exposure and service credits to a maximum of 5 percent of total Purchase Order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Financial exposure due to lack of remedial work liquidated damages</w:t>
            </w:r>
          </w:p>
        </w:tc>
        <w:tc>
          <w:tcPr>
            <w:tcW w:type="dxa" w:w="1440"/>
          </w:tcPr>
          <w:p>
            <w:r>
              <w:t>Clause 00511.5.3 explicitly exempts remedial work, warranty repairs, and replacements from liquidated damages. This creates a financial gap where the buyer cannot recover monetary damages for delays in corrective actions, relying solely on a corrective-action plan without financial leverage to ensure timely performance.</w:t>
            </w:r>
          </w:p>
        </w:tc>
        <w:tc>
          <w:tcPr>
            <w:tcW w:type="dxa" w:w="1440"/>
          </w:tcPr>
          <w:p>
            <w:r>
              <w:t>Remove the exemption for remedial work and apply liquidated damages to delays in warranty repairs and replacements.</w:t>
            </w:r>
          </w:p>
        </w:tc>
      </w:tr>
      <w:tr>
        <w:tc>
          <w:tcPr>
            <w:tcW w:type="dxa" w:w="1440"/>
          </w:tcPr>
          <w:p>
            <w:r>
              <w:t>Guarantee</w:t>
            </w:r>
          </w:p>
        </w:tc>
        <w:tc>
          <w:tcPr>
            <w:tcW w:type="dxa" w:w="1440"/>
          </w:tcPr>
          <w:p>
            <w:r>
              <w:t>Warranty period defined</w:t>
            </w:r>
          </w:p>
        </w:tc>
        <w:tc>
          <w:tcPr>
            <w:tcW w:type="dxa" w:w="1440"/>
          </w:tcPr>
          <w:p>
            <w:r>
              <w:t>Amber</w:t>
            </w:r>
          </w:p>
        </w:tc>
        <w:tc>
          <w:tcPr>
            <w:tcW w:type="dxa" w:w="1440"/>
          </w:tcPr>
          <w:p>
            <w:r>
              <w:t>Warranty risks and financial exposure</w:t>
            </w:r>
          </w:p>
        </w:tc>
        <w:tc>
          <w:tcPr>
            <w:tcW w:type="dxa" w:w="1440"/>
          </w:tcPr>
          <w:p>
            <w:r>
              <w:t>The warranty period is subject to deemed events and restrictive time-caps. The standard guarantee may expire prematurely if commissioning is delayed, and remedial guarantees are capped at 18 months from original dispatch regardless of the repair date, limiting protection for replaced components.</w:t>
            </w:r>
          </w:p>
        </w:tc>
        <w:tc>
          <w:tcPr>
            <w:tcW w:type="dxa" w:w="1440"/>
          </w:tcPr>
          <w:p>
            <w:r>
              <w:t>Establish a fixed warranty period from final acceptance and ensure remedial guarantees run for a full term from the date of repair without dispatch-based caps.</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Warranty risk and reduced equipment protection</w:t>
            </w:r>
          </w:p>
        </w:tc>
        <w:tc>
          <w:tcPr>
            <w:tcW w:type="dxa" w:w="1440"/>
          </w:tcPr>
          <w:p>
            <w:r>
              <w:t>The remedial guarantee for repaired components is limited to the earlier of twelve months from repair or eighteen months from original dispatch. This creates a gap where components replaced late in the original warranty period receive significantly shorter protection than the standard guarantee, increasing financial exposure for premature equipment failure.</w:t>
            </w:r>
          </w:p>
        </w:tc>
        <w:tc>
          <w:tcPr>
            <w:tcW w:type="dxa" w:w="1440"/>
          </w:tcPr>
          <w:p>
            <w:r>
              <w:t>Ensure repaired or replaced components are guaranteed for twelve months from completion of repair regardless of the original dispatch date.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Warranty risk and limited remedial coverage</w:t>
            </w:r>
          </w:p>
        </w:tc>
        <w:tc>
          <w:tcPr>
            <w:tcW w:type="dxa" w:w="1440"/>
          </w:tcPr>
          <w:p>
            <w:r>
              <w:t>The remedial guarantee is capped at 18 months from original dispatch, regardless of when the repair occurs. This creates a gap where repaired components may have little to no remaining warranty. Additionally, coverage is restricted only to the specific replaced component unless the entire equipment train is affected.</w:t>
            </w:r>
          </w:p>
        </w:tc>
        <w:tc>
          <w:tcPr>
            <w:tcW w:type="dxa" w:w="1440"/>
          </w:tcPr>
          <w:p>
            <w:r>
              <w:t>Extend remedial guarantee to a full 12 months from completion of repair regardless of original dispatch date and expand scope to include all affected integrated components.</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Force majeure limitations</w:t>
            </w:r>
          </w:p>
        </w:tc>
        <w:tc>
          <w:tcPr>
            <w:tcW w:type="dxa" w:w="1440"/>
          </w:tcPr>
          <w:p>
            <w:r>
              <w:t>Article 00511.7.2 restricts supply-chain force majeure relief exclusively to named Tier-1 sub-suppliers in Annex D and the approved logistics carrier. This creates operational and legal exposure because failures at other critical sub-contractor levels or alternate vendors are excluded from relief, regardless of whether the event was beyond the supplier's reasonable control.</w:t>
            </w:r>
          </w:p>
        </w:tc>
        <w:tc>
          <w:tcPr>
            <w:tcW w:type="dxa" w:w="1440"/>
          </w:tcPr>
          <w:p>
            <w:r>
              <w:t>Remove the restriction limiting supply-chain relief to named Tier-1 sub-suppliers and approved carriers to cover all critical sub-contractors.</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Force majeure limitations</w:t>
            </w:r>
          </w:p>
        </w:tc>
        <w:tc>
          <w:tcPr>
            <w:tcW w:type="dxa" w:w="1440"/>
          </w:tcPr>
          <w:p>
            <w:r>
              <w:t>Force majeure relief is restricted to specific Tier-1 suppliers in Annex D and approved carriers. This excludes unnamed subcontractors and alternate vendors, creating operational and legal exposure if a non-named supplier experiences a qualifying event, as the Supplier remains liable for performance failures.</w:t>
            </w:r>
          </w:p>
        </w:tc>
        <w:tc>
          <w:tcPr>
            <w:tcW w:type="dxa" w:w="1440"/>
          </w:tcPr>
          <w:p>
            <w:r>
              <w:t>Extend force majeure relief to all subcontractors and vendors regardless of their status as named Tier-1 or approved suppliers.</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Force majeure limitations</w:t>
            </w:r>
          </w:p>
        </w:tc>
        <w:tc>
          <w:tcPr>
            <w:tcW w:type="dxa" w:w="1440"/>
          </w:tcPr>
          <w:p>
            <w:r>
              <w:t>The clause restricts Force Majeure relief for supply chain disruptions exclusively to named Tier-1 sub-suppliers in Annex D and approved carriers. This creates operational and legal exposure because the Supplier cannot claim relief for disruptions involving unnamed subcontractors or alternate vendors, potentially leading to breach of contract disputes during systemic supply chain failures.</w:t>
            </w:r>
          </w:p>
        </w:tc>
        <w:tc>
          <w:tcPr>
            <w:tcW w:type="dxa" w:w="1440"/>
          </w:tcPr>
          <w:p>
            <w:r>
              <w:t>Extend Force Majeure relief to cover all subcontractors and logistics providers regardless of their listing in Annex D.</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Financial exposure due to tiered termination fees</w:t>
            </w:r>
          </w:p>
        </w:tc>
        <w:tc>
          <w:tcPr>
            <w:tcW w:type="dxa" w:w="1440"/>
          </w:tcPr>
          <w:p>
            <w:r>
              <w:t>The Buyer is obligated to pay a sliding scale of fees up to 100 percent of the undelivered balance upon convenience cancellation. This creates significant cash-flow risk and financial liability based on the timing of the cancellation request.</w:t>
            </w:r>
          </w:p>
        </w:tc>
        <w:tc>
          <w:tcPr>
            <w:tcW w:type="dxa" w:w="1440"/>
          </w:tcPr>
          <w:p>
            <w:r>
              <w:t>Reduce the percentage of cancellation fees across all time tiers and cap the total liability for convenience termination.</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Financial exposure through escalating termination for convenience fees</w:t>
            </w:r>
          </w:p>
        </w:tc>
        <w:tc>
          <w:tcPr>
            <w:tcW w:type="dxa" w:w="1440"/>
          </w:tcPr>
          <w:p>
            <w:r>
              <w:t>The tiered fee structure creates significant financial liability, reaching 100 percent of the undelivered balance after 181 days. This creates a high cost of exit for the Buyer regardless of Supplier actual costs, escalating rapidly from 7.5 percent to 100 percent based solely on time elapsed since acknowledgement.</w:t>
            </w:r>
          </w:p>
        </w:tc>
        <w:tc>
          <w:tcPr>
            <w:tcW w:type="dxa" w:w="1440"/>
          </w:tcPr>
          <w:p>
            <w:r>
              <w:t>Replace the percentage-based schedule with a reimbursement model limited to actual, documented, and non-cancelable costs incurred by the Supplier.</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Financial exposure due to non-compliant cancellation fee structure</w:t>
            </w:r>
          </w:p>
        </w:tc>
        <w:tc>
          <w:tcPr>
            <w:tcW w:type="dxa" w:w="1440"/>
          </w:tcPr>
          <w:p>
            <w:r>
              <w:t>The contract specifies a 38% fee for the 61-90 day window instead of the required 40%. This creates a discrepancy between the mandatory corporate requirement and the actual contractual obligation, resulting in an under-recovery of costs or failure to meet internal financial compliance standards during early termination for convenience.</w:t>
            </w:r>
          </w:p>
        </w:tc>
        <w:tc>
          <w:tcPr>
            <w:tcW w:type="dxa" w:w="1440"/>
          </w:tcPr>
          <w:p>
            <w:r>
              <w:t>Increase the cancellation fee for the 61-90 day window to 40 percent of the order value.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Suspension risks and financial exposure</w:t>
            </w:r>
          </w:p>
        </w:tc>
        <w:tc>
          <w:tcPr>
            <w:tcW w:type="dxa" w:w="1440"/>
          </w:tcPr>
          <w:p>
            <w:r>
              <w:t>The clause excludes regulatory, government, and safety stoppages from the suspension limits. This allows the Buyer to suspend work indefinitely for these reasons without triggering the compensable change order protections defined in 00511.10.2, leading to unrecovered costs for storage, demobilization, and remobilization.</w:t>
            </w:r>
          </w:p>
        </w:tc>
        <w:tc>
          <w:tcPr>
            <w:tcW w:type="dxa" w:w="1440"/>
          </w:tcPr>
          <w:p>
            <w:r>
              <w:t>Include regulatory, government, and safety stoppages within the maximum suspension limits and the definition of compensable excess periods.</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Operational and financial suspension risks</w:t>
            </w:r>
          </w:p>
        </w:tc>
        <w:tc>
          <w:tcPr>
            <w:tcW w:type="dxa" w:w="1440"/>
          </w:tcPr>
          <w:p>
            <w:r>
              <w:t>The clause allows Buyer to suspend work twice for 30 days. While excess periods are compensable, the initial 30-day window and the 5-day restart window subject to resource availability create operational uncertainty and potential uncompensated standby costs for the Supplier.</w:t>
            </w:r>
          </w:p>
        </w:tc>
        <w:tc>
          <w:tcPr>
            <w:tcW w:type="dxa" w:w="1440"/>
          </w:tcPr>
          <w:p>
            <w:r>
              <w:t>Require payment for all suspension periods regardless of duration and remove the 30-day non-compensable threshold.</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Legal and arbitration exposure due to fragmented dispute resolution</w:t>
            </w:r>
          </w:p>
        </w:tc>
        <w:tc>
          <w:tcPr>
            <w:tcW w:type="dxa" w:w="1440"/>
          </w:tcPr>
          <w:p>
            <w:r>
              <w:t>The clause creates a split jurisdictional framework where governing law is India, but specific disputes are arbitrated in Singapore, while others remain in Mumbai courts. This fragmentation increases legal complexity, potential for conflicting judgments, and higher costs associated with managing proceedings across two different legal jurisdictions and forums.</w:t>
            </w:r>
          </w:p>
        </w:tc>
        <w:tc>
          <w:tcPr>
            <w:tcW w:type="dxa" w:w="1440"/>
          </w:tcPr>
          <w:p>
            <w:r>
              <w:t>Align governing law and dispute resolution to a single jurisdiction and forum for all contractual and non-contractual obligations.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limitations</w:t>
            </w:r>
          </w:p>
        </w:tc>
        <w:tc>
          <w:tcPr>
            <w:tcW w:type="dxa" w:w="1440"/>
          </w:tcPr>
          <w:p>
            <w:r>
              <w:t>The arbitration mechanism is conditional and restricted. Only legal disputes proceed to Singapore arbitration if a technical expert in Mumbai first determines laboratory test methodology disputes. This creates a dependency on a preliminary expert determination and limits the direct application of arbitration for technical disagreements.</w:t>
            </w:r>
          </w:p>
        </w:tc>
        <w:tc>
          <w:tcPr>
            <w:tcW w:type="dxa" w:w="1440"/>
          </w:tcPr>
          <w:p>
            <w:r>
              <w:t>Ensure all disputes regardless of technical nature are subject to direct Singapore arbitration without mandatory preliminary expert determination.</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limitations and legal exposure</w:t>
            </w:r>
          </w:p>
        </w:tc>
        <w:tc>
          <w:tcPr>
            <w:tcW w:type="dxa" w:w="1440"/>
          </w:tcPr>
          <w:p>
            <w:r>
              <w:t>The clause creates a multi-tiered dispute process with a carve-out for laboratory test methodology. By requiring a technical expert in Mumbai before proceeding to Singapore arbitration, the process introduces a procedural dependency and potential delays in achieving a final legal resolution.</w:t>
            </w:r>
          </w:p>
        </w:tc>
        <w:tc>
          <w:tcPr>
            <w:tcW w:type="dxa" w:w="1440"/>
          </w:tcPr>
          <w:p>
            <w:r>
              <w:t>Remove the requirement for a technical expert referral and mandate all disputes proceed directly to Singapore arbitration.</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Liability exposure</w:t>
            </w:r>
          </w:p>
        </w:tc>
        <w:tc>
          <w:tcPr>
            <w:tcW w:type="dxa" w:w="1440"/>
          </w:tcPr>
          <w:p>
            <w:r>
              <w:t>The liability cap for defect repairs is limited to 10 percent of the PO value. While certain emergency costs are carved out, other significant defect-related damages remain capped, creating financial exposure if repair costs exceed the 10 percent threshold.</w:t>
            </w:r>
          </w:p>
        </w:tc>
        <w:tc>
          <w:tcPr>
            <w:tcW w:type="dxa" w:w="1440"/>
          </w:tcPr>
          <w:p>
            <w:r>
              <w:t>Increase the aggregate liability cap for defect repairs and expand the list of excluded costs to include all emergency and critical failure remediations.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Uncapped liability exposure via consequential damage carve-outs</w:t>
            </w:r>
          </w:p>
        </w:tc>
        <w:tc>
          <w:tcPr>
            <w:tcW w:type="dxa" w:w="1440"/>
          </w:tcPr>
          <w:p>
            <w:r>
              <w:t>Article 00511.15.2 creates multiple exceptions to the consequential damages waiver, including confidentiality, indemnity, IP infringement, and gross negligence. This allows the counterparty to seek recovery for indirect and consequential losses for these events, bypassing the general liability limitation and increasing financial and legal exposure.</w:t>
            </w:r>
          </w:p>
        </w:tc>
        <w:tc>
          <w:tcPr>
            <w:tcW w:type="dxa" w:w="1440"/>
          </w:tcPr>
          <w:p>
            <w:r>
              <w:t>Remove exceptions for confidentiality, indemnity, and IP infringement from the consequential damages waiver to ensure a comprehensive exclusion of indirect losses.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Increased liability exposure via extensive consequential damage carve-outs</w:t>
            </w:r>
          </w:p>
        </w:tc>
        <w:tc>
          <w:tcPr>
            <w:tcW w:type="dxa" w:w="1440"/>
          </w:tcPr>
          <w:p>
            <w:r>
              <w:t>The clause provides a broad waiver but allows for multiple exceptions including confidentiality, indemnity, IP infringement, fraud, and gross negligence. These carve-outs bypass the limitation of liability for consequential damages, exposing the company to uncapped financial claims for indirect losses in these specific scenarios.</w:t>
            </w:r>
          </w:p>
        </w:tc>
        <w:tc>
          <w:tcPr>
            <w:tcW w:type="dxa" w:w="1440"/>
          </w:tcPr>
          <w:p>
            <w:r>
              <w:t>Narrow the list of exceptions to consequential damage waivers and subject all carve-outs to an overall aggregate liability cap.</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Cash-flow risk and payment unpredictability</w:t>
            </w:r>
          </w:p>
        </w:tc>
        <w:tc>
          <w:tcPr>
            <w:tcW w:type="dxa" w:w="1440"/>
          </w:tcPr>
          <w:p>
            <w:r>
              <w:t>Payment is contingent upon internal buyer processes including goods receipt, inspection, and packing-list reconciliation. Because the 30-day clock only starts after these internal records are completed, the buyer can unilaterally delay payment regardless of the invoice date, creating financial uncertainty and extending the actual payment cycle beyond the required Net 30 terms.</w:t>
            </w:r>
          </w:p>
        </w:tc>
        <w:tc>
          <w:tcPr>
            <w:tcW w:type="dxa" w:w="1440"/>
          </w:tcPr>
          <w:p>
            <w:r>
              <w:t>Set payment as Net 30 days from invoice receipt and remove internal system record dependencies as triggers for the payment clock.</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Ensure the full 45% advance is payable as a single lump sum upon PO acknowledgement and document submission without further conditional tranches.</w:t>
            </w:r>
          </w:p>
        </w:tc>
      </w:tr>
      <w:tr>
        <w:tc>
          <w:tcPr>
            <w:tcW w:type="dxa" w:w="2880"/>
          </w:tcPr>
          <w:p>
            <w:r>
              <w:t>Bank Guarantees</w:t>
            </w:r>
          </w:p>
        </w:tc>
        <w:tc>
          <w:tcPr>
            <w:tcW w:type="dxa" w:w="2880"/>
          </w:tcPr>
          <w:p>
            <w:r>
              <w:t>Performance Guarantee not exceeding 10%</w:t>
            </w:r>
          </w:p>
        </w:tc>
        <w:tc>
          <w:tcPr>
            <w:tcW w:type="dxa" w:w="2880"/>
          </w:tcPr>
          <w:p>
            <w:r>
              <w:t>Limit total performance security obligations to a maximum of 10 percent of the Purchase Order value, inclusive of the bridge guarantee.</w:t>
            </w:r>
          </w:p>
        </w:tc>
      </w:tr>
      <w:tr>
        <w:tc>
          <w:tcPr>
            <w:tcW w:type="dxa" w:w="2880"/>
          </w:tcPr>
          <w:p>
            <w:r>
              <w:t>Liquidated Damages</w:t>
            </w:r>
          </w:p>
        </w:tc>
        <w:tc>
          <w:tcPr>
            <w:tcW w:type="dxa" w:w="2880"/>
          </w:tcPr>
          <w:p>
            <w:r>
              <w:t>Documentation LD not applicable</w:t>
            </w:r>
          </w:p>
        </w:tc>
        <w:tc>
          <w:tcPr>
            <w:tcW w:type="dxa" w:w="2880"/>
          </w:tcPr>
          <w:p>
            <w:r>
              <w:t>Apply liquidated damages to all documentation and engineering submittal delays regardless of criticality.</w:t>
            </w:r>
          </w:p>
        </w:tc>
      </w:tr>
      <w:tr>
        <w:tc>
          <w:tcPr>
            <w:tcW w:type="dxa" w:w="2880"/>
          </w:tcPr>
          <w:p>
            <w:r>
              <w:t>Liquidated Damages</w:t>
            </w:r>
          </w:p>
        </w:tc>
        <w:tc>
          <w:tcPr>
            <w:tcW w:type="dxa" w:w="2880"/>
          </w:tcPr>
          <w:p>
            <w:r>
              <w:t>Equipment Delivery LD 0.5% per week</w:t>
            </w:r>
          </w:p>
        </w:tc>
        <w:tc>
          <w:tcPr>
            <w:tcW w:type="dxa" w:w="2880"/>
          </w:tcPr>
          <w:p>
            <w:r>
              <w:t>Remove the 5% individual equipment cap and increase the aggregate delay exposure cap to 10% of the total Purchase Order value.</w:t>
            </w:r>
          </w:p>
        </w:tc>
      </w:tr>
      <w:tr>
        <w:tc>
          <w:tcPr>
            <w:tcW w:type="dxa" w:w="2880"/>
          </w:tcPr>
          <w:p>
            <w:r>
              <w:t>Liquidated Damages</w:t>
            </w:r>
          </w:p>
        </w:tc>
        <w:tc>
          <w:tcPr>
            <w:tcW w:type="dxa" w:w="2880"/>
          </w:tcPr>
          <w:p>
            <w:r>
              <w:t>Equipment Delivery LD capped at 5%</w:t>
            </w:r>
          </w:p>
        </w:tc>
        <w:tc>
          <w:tcPr>
            <w:tcW w:type="dxa" w:w="2880"/>
          </w:tcPr>
          <w:p>
            <w:r>
              <w:t>Reduce aggregate delay exposure, including delivery LD and service credits, to a maximum of 5 percent of the total Purchase Order value.</w:t>
            </w:r>
          </w:p>
        </w:tc>
      </w:tr>
      <w:tr>
        <w:tc>
          <w:tcPr>
            <w:tcW w:type="dxa" w:w="2880"/>
          </w:tcPr>
          <w:p>
            <w:r>
              <w:t>Liquidated Damages</w:t>
            </w:r>
          </w:p>
        </w:tc>
        <w:tc>
          <w:tcPr>
            <w:tcW w:type="dxa" w:w="2880"/>
          </w:tcPr>
          <w:p>
            <w:r>
              <w:t>Aggregate LD capped at 5% PO value</w:t>
            </w:r>
          </w:p>
        </w:tc>
        <w:tc>
          <w:tcPr>
            <w:tcW w:type="dxa" w:w="2880"/>
          </w:tcPr>
          <w:p>
            <w:r>
              <w:t>Reduce aggregate delay exposure and service credits to a maximum of 5 percent of total Purchase Order value.</w:t>
            </w:r>
          </w:p>
        </w:tc>
      </w:tr>
      <w:tr>
        <w:tc>
          <w:tcPr>
            <w:tcW w:type="dxa" w:w="2880"/>
          </w:tcPr>
          <w:p>
            <w:r>
              <w:t>Liquidated Damages</w:t>
            </w:r>
          </w:p>
        </w:tc>
        <w:tc>
          <w:tcPr>
            <w:tcW w:type="dxa" w:w="2880"/>
          </w:tcPr>
          <w:p>
            <w:r>
              <w:t>Remedial Work LD not applicable</w:t>
            </w:r>
          </w:p>
        </w:tc>
        <w:tc>
          <w:tcPr>
            <w:tcW w:type="dxa" w:w="2880"/>
          </w:tcPr>
          <w:p>
            <w:r>
              <w:t>Remove the exemption for remedial work and apply liquidated damages to delays in warranty repairs and replacements.</w:t>
            </w:r>
          </w:p>
        </w:tc>
      </w:tr>
      <w:tr>
        <w:tc>
          <w:tcPr>
            <w:tcW w:type="dxa" w:w="2880"/>
          </w:tcPr>
          <w:p>
            <w:r>
              <w:t>Guarantee</w:t>
            </w:r>
          </w:p>
        </w:tc>
        <w:tc>
          <w:tcPr>
            <w:tcW w:type="dxa" w:w="2880"/>
          </w:tcPr>
          <w:p>
            <w:r>
              <w:t>Warranty period defined</w:t>
            </w:r>
          </w:p>
        </w:tc>
        <w:tc>
          <w:tcPr>
            <w:tcW w:type="dxa" w:w="2880"/>
          </w:tcPr>
          <w:p>
            <w:r>
              <w:t>Establish a fixed warranty period from final acceptance and ensure remedial guarantees run for a full term from the date of repair without dispatch-based caps.</w:t>
            </w:r>
          </w:p>
        </w:tc>
      </w:tr>
      <w:tr>
        <w:tc>
          <w:tcPr>
            <w:tcW w:type="dxa" w:w="2880"/>
          </w:tcPr>
          <w:p>
            <w:r>
              <w:t>Guarantee</w:t>
            </w:r>
          </w:p>
        </w:tc>
        <w:tc>
          <w:tcPr>
            <w:tcW w:type="dxa" w:w="2880"/>
          </w:tcPr>
          <w:p>
            <w:r>
              <w:t>2 months from commissioning or 18 months from dispatch</w:t>
            </w:r>
          </w:p>
        </w:tc>
        <w:tc>
          <w:tcPr>
            <w:tcW w:type="dxa" w:w="2880"/>
          </w:tcPr>
          <w:p>
            <w:r>
              <w:t>Ensure repaired or replaced components are guaranteed for twelve months from completion of repair regardless of the original dispatch date.</w:t>
            </w:r>
          </w:p>
        </w:tc>
      </w:tr>
      <w:tr>
        <w:tc>
          <w:tcPr>
            <w:tcW w:type="dxa" w:w="2880"/>
          </w:tcPr>
          <w:p>
            <w:r>
              <w:t>Guarantee</w:t>
            </w:r>
          </w:p>
        </w:tc>
        <w:tc>
          <w:tcPr>
            <w:tcW w:type="dxa" w:w="2880"/>
          </w:tcPr>
          <w:p>
            <w:r>
              <w:t>Repair/replacement warranty obligations defined</w:t>
            </w:r>
          </w:p>
        </w:tc>
        <w:tc>
          <w:tcPr>
            <w:tcW w:type="dxa" w:w="2880"/>
          </w:tcPr>
          <w:p>
            <w:r>
              <w:t>Extend remedial guarantee to a full 12 months from completion of repair regardless of original dispatch date and expand scope to include all affected integrated components.</w:t>
            </w:r>
          </w:p>
        </w:tc>
      </w:tr>
      <w:tr>
        <w:tc>
          <w:tcPr>
            <w:tcW w:type="dxa" w:w="2880"/>
          </w:tcPr>
          <w:p>
            <w:r>
              <w:t>Force Majeure</w:t>
            </w:r>
          </w:p>
        </w:tc>
        <w:tc>
          <w:tcPr>
            <w:tcW w:type="dxa" w:w="2880"/>
          </w:tcPr>
          <w:p>
            <w:r>
              <w:t>Force majeure events defined</w:t>
            </w:r>
          </w:p>
        </w:tc>
        <w:tc>
          <w:tcPr>
            <w:tcW w:type="dxa" w:w="2880"/>
          </w:tcPr>
          <w:p>
            <w:r>
              <w:t>Remove the restriction limiting supply-chain relief to named Tier-1 sub-suppliers and approved carriers to cover all critical sub-contractors.</w:t>
            </w:r>
          </w:p>
        </w:tc>
      </w:tr>
      <w:tr>
        <w:tc>
          <w:tcPr>
            <w:tcW w:type="dxa" w:w="2880"/>
          </w:tcPr>
          <w:p>
            <w:r>
              <w:t>Force Majeure</w:t>
            </w:r>
          </w:p>
        </w:tc>
        <w:tc>
          <w:tcPr>
            <w:tcW w:type="dxa" w:w="2880"/>
          </w:tcPr>
          <w:p>
            <w:r>
              <w:t>Applies to subcontractors</w:t>
            </w:r>
          </w:p>
        </w:tc>
        <w:tc>
          <w:tcPr>
            <w:tcW w:type="dxa" w:w="2880"/>
          </w:tcPr>
          <w:p>
            <w:r>
              <w:t>Extend force majeure relief to all subcontractors and vendors regardless of their status as named Tier-1 or approved suppliers.</w:t>
            </w:r>
          </w:p>
        </w:tc>
      </w:tr>
      <w:tr>
        <w:tc>
          <w:tcPr>
            <w:tcW w:type="dxa" w:w="2880"/>
          </w:tcPr>
          <w:p>
            <w:r>
              <w:t>Force Majeure</w:t>
            </w:r>
          </w:p>
        </w:tc>
        <w:tc>
          <w:tcPr>
            <w:tcW w:type="dxa" w:w="2880"/>
          </w:tcPr>
          <w:p>
            <w:r>
              <w:t>Notice obligations defined</w:t>
            </w:r>
          </w:p>
        </w:tc>
        <w:tc>
          <w:tcPr>
            <w:tcW w:type="dxa" w:w="2880"/>
          </w:tcPr>
          <w:p>
            <w:r>
              <w:t>Extend Force Majeure relief to cover all subcontractors and logistics providers regardless of their listing in Annex D.</w:t>
            </w:r>
          </w:p>
        </w:tc>
      </w:tr>
      <w:tr>
        <w:tc>
          <w:tcPr>
            <w:tcW w:type="dxa" w:w="2880"/>
          </w:tcPr>
          <w:p>
            <w:r>
              <w:t>Termination</w:t>
            </w:r>
          </w:p>
        </w:tc>
        <w:tc>
          <w:tcPr>
            <w:tcW w:type="dxa" w:w="2880"/>
          </w:tcPr>
          <w:p>
            <w:r>
              <w:t>Termination rights defined</w:t>
            </w:r>
          </w:p>
        </w:tc>
        <w:tc>
          <w:tcPr>
            <w:tcW w:type="dxa" w:w="2880"/>
          </w:tcPr>
          <w:p>
            <w:r>
              <w:t>Reduce the percentage of cancellation fees across all time tiers and cap the total liability for convenience termination.</w:t>
            </w:r>
          </w:p>
        </w:tc>
      </w:tr>
      <w:tr>
        <w:tc>
          <w:tcPr>
            <w:tcW w:type="dxa" w:w="2880"/>
          </w:tcPr>
          <w:p>
            <w:r>
              <w:t>Termination</w:t>
            </w:r>
          </w:p>
        </w:tc>
        <w:tc>
          <w:tcPr>
            <w:tcW w:type="dxa" w:w="2880"/>
          </w:tcPr>
          <w:p>
            <w:r>
              <w:t>Cancellation fee structure defined</w:t>
            </w:r>
          </w:p>
        </w:tc>
        <w:tc>
          <w:tcPr>
            <w:tcW w:type="dxa" w:w="2880"/>
          </w:tcPr>
          <w:p>
            <w:r>
              <w:t>Replace the percentage-based schedule with a reimbursement model limited to actual, documented, and non-cancelable costs incurred by the Supplier.</w:t>
            </w:r>
          </w:p>
        </w:tc>
      </w:tr>
      <w:tr>
        <w:tc>
          <w:tcPr>
            <w:tcW w:type="dxa" w:w="2880"/>
          </w:tcPr>
          <w:p>
            <w:r>
              <w:t>Termination</w:t>
            </w:r>
          </w:p>
        </w:tc>
        <w:tc>
          <w:tcPr>
            <w:tcW w:type="dxa" w:w="2880"/>
          </w:tcPr>
          <w:p>
            <w:r>
              <w:t>61-90 day cancellation fee 40%</w:t>
            </w:r>
          </w:p>
        </w:tc>
        <w:tc>
          <w:tcPr>
            <w:tcW w:type="dxa" w:w="2880"/>
          </w:tcPr>
          <w:p>
            <w:r>
              <w:t>Increase the cancellation fee for the 61-90 day window to 40 percent of the order value.</w:t>
            </w:r>
          </w:p>
        </w:tc>
      </w:tr>
      <w:tr>
        <w:tc>
          <w:tcPr>
            <w:tcW w:type="dxa" w:w="2880"/>
          </w:tcPr>
          <w:p>
            <w:r>
              <w:t>Suspension</w:t>
            </w:r>
          </w:p>
        </w:tc>
        <w:tc>
          <w:tcPr>
            <w:tcW w:type="dxa" w:w="2880"/>
          </w:tcPr>
          <w:p>
            <w:r>
              <w:t>Maximum 2 suspensions and 30 days aggregate</w:t>
            </w:r>
          </w:p>
        </w:tc>
        <w:tc>
          <w:tcPr>
            <w:tcW w:type="dxa" w:w="2880"/>
          </w:tcPr>
          <w:p>
            <w:r>
              <w:t>Include regulatory, government, and safety stoppages within the maximum suspension limits and the definition of compensable excess periods.</w:t>
            </w:r>
          </w:p>
        </w:tc>
      </w:tr>
      <w:tr>
        <w:tc>
          <w:tcPr>
            <w:tcW w:type="dxa" w:w="2880"/>
          </w:tcPr>
          <w:p>
            <w:r>
              <w:t>Suspension</w:t>
            </w:r>
          </w:p>
        </w:tc>
        <w:tc>
          <w:tcPr>
            <w:tcW w:type="dxa" w:w="2880"/>
          </w:tcPr>
          <w:p>
            <w:r>
              <w:t>Supplier obligations during suspension defined</w:t>
            </w:r>
          </w:p>
        </w:tc>
        <w:tc>
          <w:tcPr>
            <w:tcW w:type="dxa" w:w="2880"/>
          </w:tcPr>
          <w:p>
            <w:r>
              <w:t>Require payment for all suspension periods regardless of duration and remove the 30-day non-compensable threshold.</w:t>
            </w:r>
          </w:p>
        </w:tc>
      </w:tr>
      <w:tr>
        <w:tc>
          <w:tcPr>
            <w:tcW w:type="dxa" w:w="2880"/>
          </w:tcPr>
          <w:p>
            <w:r>
              <w:t>Governing Law</w:t>
            </w:r>
          </w:p>
        </w:tc>
        <w:tc>
          <w:tcPr>
            <w:tcW w:type="dxa" w:w="2880"/>
          </w:tcPr>
          <w:p>
            <w:r>
              <w:t>Applicable law specified</w:t>
            </w:r>
          </w:p>
        </w:tc>
        <w:tc>
          <w:tcPr>
            <w:tcW w:type="dxa" w:w="2880"/>
          </w:tcPr>
          <w:p>
            <w:r>
              <w:t>Align governing law and dispute resolution to a single jurisdiction and forum for all contractual and non-contractual obligations.</w:t>
            </w:r>
          </w:p>
        </w:tc>
      </w:tr>
      <w:tr>
        <w:tc>
          <w:tcPr>
            <w:tcW w:type="dxa" w:w="2880"/>
          </w:tcPr>
          <w:p>
            <w:r>
              <w:t>Dispute Resolution</w:t>
            </w:r>
          </w:p>
        </w:tc>
        <w:tc>
          <w:tcPr>
            <w:tcW w:type="dxa" w:w="2880"/>
          </w:tcPr>
          <w:p>
            <w:r>
              <w:t>Arbitration mechanism defined</w:t>
            </w:r>
          </w:p>
        </w:tc>
        <w:tc>
          <w:tcPr>
            <w:tcW w:type="dxa" w:w="2880"/>
          </w:tcPr>
          <w:p>
            <w:r>
              <w:t>Ensure all disputes regardless of technical nature are subject to direct Singapore arbitration without mandatory preliminary expert determination.</w:t>
            </w:r>
          </w:p>
        </w:tc>
      </w:tr>
      <w:tr>
        <w:tc>
          <w:tcPr>
            <w:tcW w:type="dxa" w:w="2880"/>
          </w:tcPr>
          <w:p>
            <w:r>
              <w:t>Dispute Resolution</w:t>
            </w:r>
          </w:p>
        </w:tc>
        <w:tc>
          <w:tcPr>
            <w:tcW w:type="dxa" w:w="2880"/>
          </w:tcPr>
          <w:p>
            <w:r>
              <w:t>Seat of arbitration specified</w:t>
            </w:r>
          </w:p>
        </w:tc>
        <w:tc>
          <w:tcPr>
            <w:tcW w:type="dxa" w:w="2880"/>
          </w:tcPr>
          <w:p>
            <w:r>
              <w:t>Remove the requirement for a technical expert referral and mandate all disputes proceed directly to Singapore arbitration.</w:t>
            </w:r>
          </w:p>
        </w:tc>
      </w:tr>
      <w:tr>
        <w:tc>
          <w:tcPr>
            <w:tcW w:type="dxa" w:w="2880"/>
          </w:tcPr>
          <w:p>
            <w:r>
              <w:t>Liability</w:t>
            </w:r>
          </w:p>
        </w:tc>
        <w:tc>
          <w:tcPr>
            <w:tcW w:type="dxa" w:w="2880"/>
          </w:tcPr>
          <w:p>
            <w:r>
              <w:t>Liability carve-outs defined</w:t>
            </w:r>
          </w:p>
        </w:tc>
        <w:tc>
          <w:tcPr>
            <w:tcW w:type="dxa" w:w="2880"/>
          </w:tcPr>
          <w:p>
            <w:r>
              <w:t>Increase the aggregate liability cap for defect repairs and expand the list of excluded costs to include all emergency and critical failure remediations.</w:t>
            </w:r>
          </w:p>
        </w:tc>
      </w:tr>
      <w:tr>
        <w:tc>
          <w:tcPr>
            <w:tcW w:type="dxa" w:w="2880"/>
          </w:tcPr>
          <w:p>
            <w:r>
              <w:t>Consequential Damages</w:t>
            </w:r>
          </w:p>
        </w:tc>
        <w:tc>
          <w:tcPr>
            <w:tcW w:type="dxa" w:w="2880"/>
          </w:tcPr>
          <w:p>
            <w:r>
              <w:t>Consequential damages excluded</w:t>
            </w:r>
          </w:p>
        </w:tc>
        <w:tc>
          <w:tcPr>
            <w:tcW w:type="dxa" w:w="2880"/>
          </w:tcPr>
          <w:p>
            <w:r>
              <w:t>Remove exceptions for confidentiality, indemnity, and IP infringement from the consequential damages waiver to ensure a comprehensive exclusion of indirect losses.</w:t>
            </w:r>
          </w:p>
        </w:tc>
      </w:tr>
      <w:tr>
        <w:tc>
          <w:tcPr>
            <w:tcW w:type="dxa" w:w="2880"/>
          </w:tcPr>
          <w:p>
            <w:r>
              <w:t>Consequential Damages</w:t>
            </w:r>
          </w:p>
        </w:tc>
        <w:tc>
          <w:tcPr>
            <w:tcW w:type="dxa" w:w="2880"/>
          </w:tcPr>
          <w:p>
            <w:r>
              <w:t>Exceptions to exclusion defined</w:t>
            </w:r>
          </w:p>
        </w:tc>
        <w:tc>
          <w:tcPr>
            <w:tcW w:type="dxa" w:w="2880"/>
          </w:tcPr>
          <w:p>
            <w:r>
              <w:t>Narrow the list of exceptions to consequential damage waivers and subject all carve-outs to an overall aggregate liability cap.</w:t>
            </w:r>
          </w:p>
        </w:tc>
      </w:tr>
      <w:tr>
        <w:tc>
          <w:tcPr>
            <w:tcW w:type="dxa" w:w="2880"/>
          </w:tcPr>
          <w:p>
            <w:r>
              <w:t>Payment Terms</w:t>
            </w:r>
          </w:p>
        </w:tc>
        <w:tc>
          <w:tcPr>
            <w:tcW w:type="dxa" w:w="2880"/>
          </w:tcPr>
          <w:p>
            <w:r>
              <w:t>All payments Net 30 days from invoice</w:t>
            </w:r>
          </w:p>
        </w:tc>
        <w:tc>
          <w:tcPr>
            <w:tcW w:type="dxa" w:w="2880"/>
          </w:tcPr>
          <w:p>
            <w:r>
              <w:t>Set payment as Net 30 days from invoice receipt and remove internal system record dependencies as triggers for the payment clock.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