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Enterprise Contract Analysis Report</w:t>
      </w:r>
    </w:p>
    <w:p>
      <w:pPr>
        <w:pStyle w:val="Heading2"/>
      </w:pPr>
      <w:r>
        <w:t>Table 1 - Compliance Analysis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Clause</w:t>
            </w:r>
          </w:p>
        </w:tc>
        <w:tc>
          <w:tcPr>
            <w:tcW w:type="dxa" w:w="1728"/>
          </w:tcPr>
          <w:p>
            <w:r>
              <w:t>Requirement</w:t>
            </w:r>
          </w:p>
        </w:tc>
        <w:tc>
          <w:tcPr>
            <w:tcW w:type="dxa" w:w="1728"/>
          </w:tcPr>
          <w:p>
            <w:r>
              <w:t>Status</w:t>
            </w:r>
          </w:p>
        </w:tc>
        <w:tc>
          <w:tcPr>
            <w:tcW w:type="dxa" w:w="1728"/>
          </w:tcPr>
          <w:p>
            <w:r>
              <w:t>Evidence</w:t>
            </w:r>
          </w:p>
        </w:tc>
        <w:tc>
          <w:tcPr>
            <w:tcW w:type="dxa" w:w="1728"/>
          </w:tcPr>
          <w:p>
            <w:r>
              <w:t>Historical Action Taken</w:t>
            </w:r>
          </w:p>
        </w:tc>
      </w:tr>
      <w:tr>
        <w:tc>
          <w:tcPr>
            <w:tcW w:type="dxa" w:w="1728"/>
          </w:tcPr>
          <w:p>
            <w:r>
              <w:t>Payment Terms</w:t>
            </w:r>
          </w:p>
        </w:tc>
        <w:tc>
          <w:tcPr>
            <w:tcW w:type="dxa" w:w="1728"/>
          </w:tcPr>
          <w:p>
            <w:r>
              <w:t>45% Minimum Advance</w:t>
            </w:r>
          </w:p>
        </w:tc>
        <w:tc>
          <w:tcPr>
            <w:tcW w:type="dxa" w:w="1728"/>
          </w:tcPr>
          <w:p>
            <w:r>
              <w:t>Partially Met</w:t>
            </w:r>
          </w:p>
        </w:tc>
        <w:tc>
          <w:tcPr>
            <w:tcW w:type="dxa" w:w="1728"/>
          </w:tcPr>
          <w:p>
            <w:r>
              <w:t>This retention clause is not intended to reduce the agreed advance percentage but can</w:t>
              <w:br/>
              <w:t>affect payment timing.</w:t>
            </w:r>
          </w:p>
        </w:tc>
        <w:tc>
          <w:tcPr>
            <w:tcW w:type="dxa" w:w="1728"/>
          </w:tcPr>
          <w:p>
            <w:r>
              <w:t>Negotiated milestone-based payment schedule and removed conditional payment dependencies.</w:t>
            </w:r>
          </w:p>
        </w:tc>
      </w:tr>
      <w:tr>
        <w:tc>
          <w:tcPr>
            <w:tcW w:type="dxa" w:w="1728"/>
          </w:tcPr>
          <w:p>
            <w:r>
              <w:t>Bank Guarantees</w:t>
            </w:r>
          </w:p>
        </w:tc>
        <w:tc>
          <w:tcPr>
            <w:tcW w:type="dxa" w:w="1728"/>
          </w:tcPr>
          <w:p>
            <w:r>
              <w:t>Performance Guarantee not exceeding 10%</w:t>
            </w:r>
          </w:p>
        </w:tc>
        <w:tc>
          <w:tcPr>
            <w:tcW w:type="dxa" w:w="1728"/>
          </w:tcPr>
          <w:p>
            <w:r>
              <w:t>Not Met</w:t>
            </w:r>
          </w:p>
        </w:tc>
        <w:tc>
          <w:tcPr>
            <w:tcW w:type="dxa" w:w="1728"/>
          </w:tcPr>
          <w:p>
            <w:r>
              <w:t>In addition to the guarantee in Article 00511.3.1, Supplier shall furnish a temporary bridge performance</w:t>
              <w:br/>
              <w:t>guarantee equal to two percent (2%) of the Purchase Order value from the date of the first advance tranche until the earlier of successful</w:t>
              <w:br/>
              <w:t>FAT release or first dispatch.</w:t>
            </w:r>
          </w:p>
        </w:tc>
        <w:tc>
          <w:tcPr>
            <w:tcW w:type="dxa" w:w="1728"/>
          </w:tcPr>
          <w:p>
            <w:r>
              <w:t>Reduced performance security from 12% to 10% through contract amendment.</w:t>
            </w:r>
          </w:p>
        </w:tc>
      </w:tr>
      <w:tr>
        <w:tc>
          <w:tcPr>
            <w:tcW w:type="dxa" w:w="1728"/>
          </w:tcPr>
          <w:p>
            <w:r>
              <w:t>Bank Guarantees</w:t>
            </w:r>
          </w:p>
        </w:tc>
        <w:tc>
          <w:tcPr>
            <w:tcW w:type="dxa" w:w="1728"/>
          </w:tcPr>
          <w:p>
            <w:r>
              <w:t>Bank Guarantee validity period defined</w:t>
            </w:r>
          </w:p>
        </w:tc>
        <w:tc>
          <w:tcPr>
            <w:tcW w:type="dxa" w:w="1728"/>
          </w:tcPr>
          <w:p>
            <w:r>
              <w:t>Met</w:t>
            </w:r>
          </w:p>
        </w:tc>
        <w:tc>
          <w:tcPr>
            <w:tcW w:type="dxa" w:w="1728"/>
          </w:tcPr>
          <w:p>
            <w:r>
              <w:t>Supplier shall furnish an unconditional performance bank guarantee equal to ten percent (10%)</w:t>
              <w:br/>
              <w:t>of the Purchase Order value, valid until expiry of the standard guarantee period plus ninety (90) days.</w:t>
            </w:r>
          </w:p>
        </w:tc>
        <w:tc>
          <w:tcPr>
            <w:tcW w:type="dxa" w:w="1728"/>
          </w:tcPr>
          <w:p>
            <w:r>
              <w:t>Reduced performance security from 12% to 10% through contract amendment.</w:t>
            </w:r>
          </w:p>
        </w:tc>
      </w:tr>
      <w:tr>
        <w:tc>
          <w:tcPr>
            <w:tcW w:type="dxa" w:w="1728"/>
          </w:tcPr>
          <w:p>
            <w:r>
              <w:t>Liquidated Damages</w:t>
            </w:r>
          </w:p>
        </w:tc>
        <w:tc>
          <w:tcPr>
            <w:tcW w:type="dxa" w:w="1728"/>
          </w:tcPr>
          <w:p>
            <w:r>
              <w:t>Documentation LD not applicable</w:t>
            </w:r>
          </w:p>
        </w:tc>
        <w:tc>
          <w:tcPr>
            <w:tcW w:type="dxa" w:w="1728"/>
          </w:tcPr>
          <w:p>
            <w:r>
              <w:t>Partially Met</w:t>
            </w:r>
          </w:p>
        </w:tc>
        <w:tc>
          <w:tcPr>
            <w:tcW w:type="dxa" w:w="1728"/>
          </w:tcPr>
          <w:p>
            <w:r>
              <w:t>For delay in delivery of equipment beyond the contractual delivery date, Supplier shall pay liquidated</w:t>
              <w:br/>
              <w:t>damages at zero point five percent (0.5%) of the value of the undelivered part per completed week of delay.</w:t>
            </w:r>
          </w:p>
        </w:tc>
        <w:tc>
          <w:tcPr>
            <w:tcW w:type="dxa" w:w="1728"/>
          </w:tcPr>
          <w:p>
            <w:r>
              <w:t>Negotiated lower LD cap and clarified applicability conditions.</w:t>
            </w:r>
          </w:p>
        </w:tc>
      </w:tr>
      <w:tr>
        <w:tc>
          <w:tcPr>
            <w:tcW w:type="dxa" w:w="1728"/>
          </w:tcPr>
          <w:p>
            <w:r>
              <w:t>Liquidated Damages</w:t>
            </w:r>
          </w:p>
        </w:tc>
        <w:tc>
          <w:tcPr>
            <w:tcW w:type="dxa" w:w="1728"/>
          </w:tcPr>
          <w:p>
            <w:r>
              <w:t>Equipment Delivery LD 0.5% per week</w:t>
            </w:r>
          </w:p>
        </w:tc>
        <w:tc>
          <w:tcPr>
            <w:tcW w:type="dxa" w:w="1728"/>
          </w:tcPr>
          <w:p>
            <w:r>
              <w:t>Partially Met</w:t>
            </w:r>
          </w:p>
        </w:tc>
        <w:tc>
          <w:tcPr>
            <w:tcW w:type="dxa" w:w="1728"/>
          </w:tcPr>
          <w:p>
            <w:r>
              <w:t>For delay in delivery of equipment beyond the contractual delivery date, Supplier shall pay liquidated</w:t>
              <w:br/>
              <w:t>damages at zero point five percent (0.5%) of the value of the undelivered part per completed week of delay.</w:t>
            </w:r>
          </w:p>
        </w:tc>
        <w:tc>
          <w:tcPr>
            <w:tcW w:type="dxa" w:w="1728"/>
          </w:tcPr>
          <w:p>
            <w:r>
              <w:t>Negotiated lower LD cap and clarified applicability conditions.</w:t>
            </w:r>
          </w:p>
        </w:tc>
      </w:tr>
      <w:tr>
        <w:tc>
          <w:tcPr>
            <w:tcW w:type="dxa" w:w="1728"/>
          </w:tcPr>
          <w:p>
            <w:r>
              <w:t>Liquidated Damages</w:t>
            </w:r>
          </w:p>
        </w:tc>
        <w:tc>
          <w:tcPr>
            <w:tcW w:type="dxa" w:w="1728"/>
          </w:tcPr>
          <w:p>
            <w:r>
              <w:t>Equipment Delivery LD capped at 5%</w:t>
            </w:r>
          </w:p>
        </w:tc>
        <w:tc>
          <w:tcPr>
            <w:tcW w:type="dxa" w:w="1728"/>
          </w:tcPr>
          <w:p>
            <w:r>
              <w:t>Partially Met</w:t>
            </w:r>
          </w:p>
        </w:tc>
        <w:tc>
          <w:tcPr>
            <w:tcW w:type="dxa" w:w="1728"/>
          </w:tcPr>
          <w:p>
            <w:r>
              <w:t>For delay in delivery of equipment beyond the contractual delivery date, Supplier shall pay liquidated</w:t>
              <w:br/>
              <w:t>damages at zero point five percent (0.5%) of the value of the undelivered part per completed week of delay.</w:t>
            </w:r>
          </w:p>
        </w:tc>
        <w:tc>
          <w:tcPr>
            <w:tcW w:type="dxa" w:w="1728"/>
          </w:tcPr>
          <w:p>
            <w:r>
              <w:t>Negotiated lower LD cap and clarified applicability conditions.</w:t>
            </w:r>
          </w:p>
        </w:tc>
      </w:tr>
      <w:tr>
        <w:tc>
          <w:tcPr>
            <w:tcW w:type="dxa" w:w="1728"/>
          </w:tcPr>
          <w:p>
            <w:r>
              <w:t>Liquidated Damages</w:t>
            </w:r>
          </w:p>
        </w:tc>
        <w:tc>
          <w:tcPr>
            <w:tcW w:type="dxa" w:w="1728"/>
          </w:tcPr>
          <w:p>
            <w:r>
              <w:t>Aggregate LD capped at 5% PO value</w:t>
            </w:r>
          </w:p>
        </w:tc>
        <w:tc>
          <w:tcPr>
            <w:tcW w:type="dxa" w:w="1728"/>
          </w:tcPr>
          <w:p>
            <w:r>
              <w:t>Not Met</w:t>
            </w:r>
          </w:p>
        </w:tc>
        <w:tc>
          <w:tcPr>
            <w:tcW w:type="dxa" w:w="1728"/>
          </w:tcPr>
          <w:p>
            <w:r>
              <w:t>For delay in delivery of equipment beyond the contractual delivery date, Supplier shall pay liquidated</w:t>
              <w:br/>
              <w:t>damages at zero point five percent (0.5%) of the value of the undelivered part per completed week of delay.</w:t>
            </w:r>
          </w:p>
        </w:tc>
        <w:tc>
          <w:tcPr>
            <w:tcW w:type="dxa" w:w="1728"/>
          </w:tcPr>
          <w:p>
            <w:r>
              <w:t>Negotiated lower LD cap and clarified applicability conditions.</w:t>
            </w:r>
          </w:p>
        </w:tc>
      </w:tr>
      <w:tr>
        <w:tc>
          <w:tcPr>
            <w:tcW w:type="dxa" w:w="1728"/>
          </w:tcPr>
          <w:p>
            <w:r>
              <w:t>Liquidated Damages</w:t>
            </w:r>
          </w:p>
        </w:tc>
        <w:tc>
          <w:tcPr>
            <w:tcW w:type="dxa" w:w="1728"/>
          </w:tcPr>
          <w:p>
            <w:r>
              <w:t>Remedial Work LD not applicable</w:t>
            </w:r>
          </w:p>
        </w:tc>
        <w:tc>
          <w:tcPr>
            <w:tcW w:type="dxa" w:w="1728"/>
          </w:tcPr>
          <w:p>
            <w:r>
              <w:t>Partially Met</w:t>
            </w:r>
          </w:p>
        </w:tc>
        <w:tc>
          <w:tcPr>
            <w:tcW w:type="dxa" w:w="1728"/>
          </w:tcPr>
          <w:p>
            <w:r>
              <w:t>For delay in delivery of equipment beyond the contractual delivery date, Supplier shall pay liquidated</w:t>
              <w:br/>
              <w:t>damages at zero point five percent (0.5%) of the value of the undelivered part per completed week of delay.</w:t>
            </w:r>
          </w:p>
        </w:tc>
        <w:tc>
          <w:tcPr>
            <w:tcW w:type="dxa" w:w="1728"/>
          </w:tcPr>
          <w:p>
            <w:r>
              <w:t>Negotiated lower LD cap and clarified applicability conditions.</w:t>
            </w:r>
          </w:p>
        </w:tc>
      </w:tr>
      <w:tr>
        <w:tc>
          <w:tcPr>
            <w:tcW w:type="dxa" w:w="1728"/>
          </w:tcPr>
          <w:p>
            <w:r>
              <w:t>Guarantee</w:t>
            </w:r>
          </w:p>
        </w:tc>
        <w:tc>
          <w:tcPr>
            <w:tcW w:type="dxa" w:w="1728"/>
          </w:tcPr>
          <w:p>
            <w:r>
              <w:t>Warranty period defined</w:t>
            </w:r>
          </w:p>
        </w:tc>
        <w:tc>
          <w:tcPr>
            <w:tcW w:type="dxa" w:w="1728"/>
          </w:tcPr>
          <w:p>
            <w:r>
              <w:t>Partially Met</w:t>
            </w:r>
          </w:p>
        </w:tc>
        <w:tc>
          <w:tcPr>
            <w:tcW w:type="dxa" w:w="1728"/>
          </w:tcPr>
          <w:p>
            <w:r>
              <w:t>Any repaired or replaced component shall be guaranteed for twelve (12) months from completion of</w:t>
              <w:br/>
              <w:t>repair or replacement, or until eighteen (18) months from original dispatch of the affected equipment, whichever occurs earlier.</w:t>
            </w:r>
          </w:p>
        </w:tc>
        <w:tc>
          <w:tcPr>
            <w:tcW w:type="dxa" w:w="1728"/>
          </w:tcPr>
          <w:p>
            <w:r>
              <w:t>Renegotiated warranty duration and coverage limits during legal review.</w:t>
            </w:r>
          </w:p>
        </w:tc>
      </w:tr>
      <w:tr>
        <w:tc>
          <w:tcPr>
            <w:tcW w:type="dxa" w:w="1728"/>
          </w:tcPr>
          <w:p>
            <w:r>
              <w:t>Guarantee</w:t>
            </w:r>
          </w:p>
        </w:tc>
        <w:tc>
          <w:tcPr>
            <w:tcW w:type="dxa" w:w="1728"/>
          </w:tcPr>
          <w:p>
            <w:r>
              <w:t>2 months from commissioning or 18 months from dispatch</w:t>
            </w:r>
          </w:p>
        </w:tc>
        <w:tc>
          <w:tcPr>
            <w:tcW w:type="dxa" w:w="1728"/>
          </w:tcPr>
          <w:p>
            <w:r>
              <w:t>Partially Met</w:t>
            </w:r>
          </w:p>
        </w:tc>
        <w:tc>
          <w:tcPr>
            <w:tcW w:type="dxa" w:w="1728"/>
          </w:tcPr>
          <w:p>
            <w:r>
              <w:t>Any repaired or replaced component shall be guaranteed for twelve (12) months from completion of</w:t>
              <w:br/>
              <w:t>repair or replacement, or until eighteen (18) months from original dispatch of the affected equipment, whichever occurs earlier.</w:t>
            </w:r>
          </w:p>
        </w:tc>
        <w:tc>
          <w:tcPr>
            <w:tcW w:type="dxa" w:w="1728"/>
          </w:tcPr>
          <w:p>
            <w:r>
              <w:t>Renegotiated warranty duration and coverage limits during legal review.</w:t>
            </w:r>
          </w:p>
        </w:tc>
      </w:tr>
      <w:tr>
        <w:tc>
          <w:tcPr>
            <w:tcW w:type="dxa" w:w="1728"/>
          </w:tcPr>
          <w:p>
            <w:r>
              <w:t>Guarantee</w:t>
            </w:r>
          </w:p>
        </w:tc>
        <w:tc>
          <w:tcPr>
            <w:tcW w:type="dxa" w:w="1728"/>
          </w:tcPr>
          <w:p>
            <w:r>
              <w:t>Repair/replacement warranty obligations defined</w:t>
            </w:r>
          </w:p>
        </w:tc>
        <w:tc>
          <w:tcPr>
            <w:tcW w:type="dxa" w:w="1728"/>
          </w:tcPr>
          <w:p>
            <w:r>
              <w:t>Partially Met</w:t>
            </w:r>
          </w:p>
        </w:tc>
        <w:tc>
          <w:tcPr>
            <w:tcW w:type="dxa" w:w="1728"/>
          </w:tcPr>
          <w:p>
            <w:r>
              <w:t>Any repaired or replaced component shall be guaranteed for twelve (12) months from completion of</w:t>
              <w:br/>
              <w:t>repair or replacement, or until eighteen (18) months from original dispatch of the affected equipment, whichever occurs earlier.</w:t>
            </w:r>
          </w:p>
        </w:tc>
        <w:tc>
          <w:tcPr>
            <w:tcW w:type="dxa" w:w="1728"/>
          </w:tcPr>
          <w:p>
            <w:r>
              <w:t>Renegotiated warranty duration and coverage limits during legal review.</w:t>
            </w:r>
          </w:p>
        </w:tc>
      </w:tr>
      <w:tr>
        <w:tc>
          <w:tcPr>
            <w:tcW w:type="dxa" w:w="1728"/>
          </w:tcPr>
          <w:p>
            <w:r>
              <w:t>Force Majeure</w:t>
            </w:r>
          </w:p>
        </w:tc>
        <w:tc>
          <w:tcPr>
            <w:tcW w:type="dxa" w:w="1728"/>
          </w:tcPr>
          <w:p>
            <w:r>
              <w:t>Force majeure events defined</w:t>
            </w:r>
          </w:p>
        </w:tc>
        <w:tc>
          <w:tcPr>
            <w:tcW w:type="dxa" w:w="1728"/>
          </w:tcPr>
          <w:p>
            <w:r>
              <w:t>Partially Met</w:t>
            </w:r>
          </w:p>
        </w:tc>
        <w:tc>
          <w:tcPr>
            <w:tcW w:type="dxa" w:w="1728"/>
          </w:tcPr>
          <w:p>
            <w:r>
              <w:t>Supplier may claim Force Majeure relief for events affecting only the Tier-1 critical sub-suppliers named</w:t>
              <w:br/>
              <w:t>in Annex D or the approved international logistics carrier.</w:t>
            </w:r>
          </w:p>
        </w:tc>
        <w:tc>
          <w:tcPr>
            <w:tcW w:type="dxa" w:w="1728"/>
          </w:tcPr>
          <w:p>
            <w:r>
              <w:t>Expanded force majeure coverage and simplified notice requirements.</w:t>
            </w:r>
          </w:p>
        </w:tc>
      </w:tr>
      <w:tr>
        <w:tc>
          <w:tcPr>
            <w:tcW w:type="dxa" w:w="1728"/>
          </w:tcPr>
          <w:p>
            <w:r>
              <w:t>Force Majeure</w:t>
            </w:r>
          </w:p>
        </w:tc>
        <w:tc>
          <w:tcPr>
            <w:tcW w:type="dxa" w:w="1728"/>
          </w:tcPr>
          <w:p>
            <w:r>
              <w:t>Applies to subcontractors</w:t>
            </w:r>
          </w:p>
        </w:tc>
        <w:tc>
          <w:tcPr>
            <w:tcW w:type="dxa" w:w="1728"/>
          </w:tcPr>
          <w:p>
            <w:r>
              <w:t>Partially Met</w:t>
            </w:r>
          </w:p>
        </w:tc>
        <w:tc>
          <w:tcPr>
            <w:tcW w:type="dxa" w:w="1728"/>
          </w:tcPr>
          <w:p>
            <w:r>
              <w:t>Force majeure applies only to named Tier-1 / approved suppliers</w:t>
            </w:r>
          </w:p>
        </w:tc>
        <w:tc>
          <w:tcPr>
            <w:tcW w:type="dxa" w:w="1728"/>
          </w:tcPr>
          <w:p>
            <w:r>
              <w:t>Expanded force majeure coverage and simplified notice requirements.</w:t>
            </w:r>
          </w:p>
        </w:tc>
      </w:tr>
      <w:tr>
        <w:tc>
          <w:tcPr>
            <w:tcW w:type="dxa" w:w="1728"/>
          </w:tcPr>
          <w:p>
            <w:r>
              <w:t>Force Majeure</w:t>
            </w:r>
          </w:p>
        </w:tc>
        <w:tc>
          <w:tcPr>
            <w:tcW w:type="dxa" w:w="1728"/>
          </w:tcPr>
          <w:p>
            <w:r>
              <w:t>Notice obligations defined</w:t>
            </w:r>
          </w:p>
        </w:tc>
        <w:tc>
          <w:tcPr>
            <w:tcW w:type="dxa" w:w="1728"/>
          </w:tcPr>
          <w:p>
            <w:r>
              <w:t>Partially Met</w:t>
            </w:r>
          </w:p>
        </w:tc>
        <w:tc>
          <w:tcPr>
            <w:tcW w:type="dxa" w:w="1728"/>
          </w:tcPr>
          <w:p>
            <w:r>
              <w:t>Supplier may claim Force Majeure relief for events affecting only the Tier-1 critical sub-suppliers named</w:t>
              <w:br/>
              <w:t>in Annex D or the approved international logistics carrier.</w:t>
            </w:r>
          </w:p>
        </w:tc>
        <w:tc>
          <w:tcPr>
            <w:tcW w:type="dxa" w:w="1728"/>
          </w:tcPr>
          <w:p>
            <w:r>
              <w:t>Expanded force majeure coverage and simplified notice requirements.</w:t>
            </w:r>
          </w:p>
        </w:tc>
      </w:tr>
      <w:tr>
        <w:tc>
          <w:tcPr>
            <w:tcW w:type="dxa" w:w="1728"/>
          </w:tcPr>
          <w:p>
            <w:r>
              <w:t>Termination</w:t>
            </w:r>
          </w:p>
        </w:tc>
        <w:tc>
          <w:tcPr>
            <w:tcW w:type="dxa" w:w="1728"/>
          </w:tcPr>
          <w:p>
            <w:r>
              <w:t>Termination rights defined</w:t>
            </w:r>
          </w:p>
        </w:tc>
        <w:tc>
          <w:tcPr>
            <w:tcW w:type="dxa" w:w="1728"/>
          </w:tcPr>
          <w:p>
            <w:r>
              <w:t>Met</w:t>
            </w:r>
          </w:p>
        </w:tc>
        <w:tc>
          <w:tcPr>
            <w:tcW w:type="dxa" w:w="1728"/>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c>
          <w:tcPr>
            <w:tcW w:type="dxa" w:w="1728"/>
          </w:tcPr>
          <w:p>
            <w:r>
              <w:t>Revised cancellation fee structure during commercial negotiations.</w:t>
            </w:r>
          </w:p>
        </w:tc>
      </w:tr>
      <w:tr>
        <w:tc>
          <w:tcPr>
            <w:tcW w:type="dxa" w:w="1728"/>
          </w:tcPr>
          <w:p>
            <w:r>
              <w:t>Termination</w:t>
            </w:r>
          </w:p>
        </w:tc>
        <w:tc>
          <w:tcPr>
            <w:tcW w:type="dxa" w:w="1728"/>
          </w:tcPr>
          <w:p>
            <w:r>
              <w:t>Cancellation fee structure defined</w:t>
            </w:r>
          </w:p>
        </w:tc>
        <w:tc>
          <w:tcPr>
            <w:tcW w:type="dxa" w:w="1728"/>
          </w:tcPr>
          <w:p>
            <w:r>
              <w:t>Met</w:t>
            </w:r>
          </w:p>
        </w:tc>
        <w:tc>
          <w:tcPr>
            <w:tcW w:type="dxa" w:w="1728"/>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c>
          <w:tcPr>
            <w:tcW w:type="dxa" w:w="1728"/>
          </w:tcPr>
          <w:p>
            <w:r>
              <w:t>Revised cancellation fee structure during commercial negotiations.</w:t>
            </w:r>
          </w:p>
        </w:tc>
      </w:tr>
      <w:tr>
        <w:tc>
          <w:tcPr>
            <w:tcW w:type="dxa" w:w="1728"/>
          </w:tcPr>
          <w:p>
            <w:r>
              <w:t>Termination</w:t>
            </w:r>
          </w:p>
        </w:tc>
        <w:tc>
          <w:tcPr>
            <w:tcW w:type="dxa" w:w="1728"/>
          </w:tcPr>
          <w:p>
            <w:r>
              <w:t>61-90 day cancellation fee 40%</w:t>
            </w:r>
          </w:p>
        </w:tc>
        <w:tc>
          <w:tcPr>
            <w:tcW w:type="dxa" w:w="1728"/>
          </w:tcPr>
          <w:p>
            <w:r>
              <w:t>Not Met</w:t>
            </w:r>
          </w:p>
        </w:tc>
        <w:tc>
          <w:tcPr>
            <w:tcW w:type="dxa" w:w="1728"/>
          </w:tcPr>
          <w:p>
            <w:r>
              <w:t>Article 00511.9 - Cancellation and Early Termination Fee</w:t>
            </w:r>
          </w:p>
        </w:tc>
        <w:tc>
          <w:tcPr>
            <w:tcW w:type="dxa" w:w="1728"/>
          </w:tcPr>
          <w:p>
            <w:r>
              <w:t>Revised cancellation fee structure during commercial negotiations.</w:t>
            </w:r>
          </w:p>
        </w:tc>
      </w:tr>
      <w:tr>
        <w:tc>
          <w:tcPr>
            <w:tcW w:type="dxa" w:w="1728"/>
          </w:tcPr>
          <w:p>
            <w:r>
              <w:t>Suspension</w:t>
            </w:r>
          </w:p>
        </w:tc>
        <w:tc>
          <w:tcPr>
            <w:tcW w:type="dxa" w:w="1728"/>
          </w:tcPr>
          <w:p>
            <w:r>
              <w:t>Maximum 2 suspensions and 30 days aggregate</w:t>
            </w:r>
          </w:p>
        </w:tc>
        <w:tc>
          <w:tcPr>
            <w:tcW w:type="dxa" w:w="1728"/>
          </w:tcPr>
          <w:p>
            <w:r>
              <w:t>Partially Met</w:t>
            </w:r>
          </w:p>
        </w:tc>
        <w:tc>
          <w:tcPr>
            <w:tcW w:type="dxa" w:w="1728"/>
          </w:tcPr>
          <w:p>
            <w:r>
              <w:t>Suspension limits exclude regulatory, government, legal, and safety stoppages</w:t>
            </w:r>
          </w:p>
        </w:tc>
        <w:tc>
          <w:tcPr>
            <w:tcW w:type="dxa" w:w="1728"/>
          </w:tcPr>
          <w:p>
            <w:r>
              <w:t>Added suspension approval workflow and duration limits.</w:t>
            </w:r>
          </w:p>
        </w:tc>
      </w:tr>
      <w:tr>
        <w:tc>
          <w:tcPr>
            <w:tcW w:type="dxa" w:w="1728"/>
          </w:tcPr>
          <w:p>
            <w:r>
              <w:t>Suspension</w:t>
            </w:r>
          </w:p>
        </w:tc>
        <w:tc>
          <w:tcPr>
            <w:tcW w:type="dxa" w:w="1728"/>
          </w:tcPr>
          <w:p>
            <w:r>
              <w:t>Supplier obligations during suspension defined</w:t>
            </w:r>
          </w:p>
        </w:tc>
        <w:tc>
          <w:tcPr>
            <w:tcW w:type="dxa" w:w="1728"/>
          </w:tcPr>
          <w:p>
            <w:r>
              <w:t>Met</w:t>
            </w:r>
          </w:p>
        </w:tc>
        <w:tc>
          <w:tcPr>
            <w:tcW w:type="dxa" w:w="1728"/>
          </w:tcPr>
          <w:p>
            <w:r>
              <w:t>Buyer may suspend work for commercial convenience no more than two (2) times during the Purchase</w:t>
              <w:br/>
              <w:t>Order term, and the aggregate duration of such commercial-convenience suspensions shall not exceed thirty (30) calendar days unless</w:t>
              <w:br/>
              <w:t>Supplier agrees in writing.</w:t>
            </w:r>
          </w:p>
        </w:tc>
        <w:tc>
          <w:tcPr>
            <w:tcW w:type="dxa" w:w="1728"/>
          </w:tcPr>
          <w:p>
            <w:r>
              <w:t>Added suspension approval workflow and duration limits.</w:t>
            </w:r>
          </w:p>
        </w:tc>
      </w:tr>
      <w:tr>
        <w:tc>
          <w:tcPr>
            <w:tcW w:type="dxa" w:w="1728"/>
          </w:tcPr>
          <w:p>
            <w:r>
              <w:t>Change Orders</w:t>
            </w:r>
          </w:p>
        </w:tc>
        <w:tc>
          <w:tcPr>
            <w:tcW w:type="dxa" w:w="1728"/>
          </w:tcPr>
          <w:p>
            <w:r>
              <w:t>Formal amendment process defined</w:t>
            </w:r>
          </w:p>
        </w:tc>
        <w:tc>
          <w:tcPr>
            <w:tcW w:type="dxa" w:w="1728"/>
          </w:tcPr>
          <w:p>
            <w:r>
              <w:t>Met</w:t>
            </w:r>
          </w:p>
        </w:tc>
        <w:tc>
          <w:tcPr>
            <w:tcW w:type="dxa" w:w="1728"/>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c>
          <w:tcPr>
            <w:tcW w:type="dxa" w:w="1728"/>
          </w:tcPr>
          <w:p>
            <w:r>
              <w:t>Implemented formal change request and approval process.</w:t>
            </w:r>
          </w:p>
        </w:tc>
      </w:tr>
      <w:tr>
        <w:tc>
          <w:tcPr>
            <w:tcW w:type="dxa" w:w="1728"/>
          </w:tcPr>
          <w:p>
            <w:r>
              <w:t>Change Orders</w:t>
            </w:r>
          </w:p>
        </w:tc>
        <w:tc>
          <w:tcPr>
            <w:tcW w:type="dxa" w:w="1728"/>
          </w:tcPr>
          <w:p>
            <w:r>
              <w:t>Timeline for approval defined</w:t>
            </w:r>
          </w:p>
        </w:tc>
        <w:tc>
          <w:tcPr>
            <w:tcW w:type="dxa" w:w="1728"/>
          </w:tcPr>
          <w:p>
            <w:r>
              <w:t>Met</w:t>
            </w:r>
          </w:p>
        </w:tc>
        <w:tc>
          <w:tcPr>
            <w:tcW w:type="dxa" w:w="1728"/>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c>
          <w:tcPr>
            <w:tcW w:type="dxa" w:w="1728"/>
          </w:tcPr>
          <w:p>
            <w:r>
              <w:t>Implemented formal change request and approval process.</w:t>
            </w:r>
          </w:p>
        </w:tc>
      </w:tr>
      <w:tr>
        <w:tc>
          <w:tcPr>
            <w:tcW w:type="dxa" w:w="1728"/>
          </w:tcPr>
          <w:p>
            <w:r>
              <w:t>Governing Law</w:t>
            </w:r>
          </w:p>
        </w:tc>
        <w:tc>
          <w:tcPr>
            <w:tcW w:type="dxa" w:w="1728"/>
          </w:tcPr>
          <w:p>
            <w:r>
              <w:t>Applicable law specified</w:t>
            </w:r>
          </w:p>
        </w:tc>
        <w:tc>
          <w:tcPr>
            <w:tcW w:type="dxa" w:w="1728"/>
          </w:tcPr>
          <w:p>
            <w:r>
              <w:t>Partially Met</w:t>
            </w:r>
          </w:p>
        </w:tc>
        <w:tc>
          <w:tcPr>
            <w:tcW w:type="dxa" w:w="1728"/>
          </w:tcPr>
          <w:p>
            <w:r>
              <w:t>This Purchase Order and all non-contractual obligations arising out of or in connection with it shall be</w:t>
              <w:br/>
              <w:t>governed by the laws of India, excluding conflict-of-law principles.</w:t>
            </w:r>
          </w:p>
        </w:tc>
        <w:tc>
          <w:tcPr>
            <w:tcW w:type="dxa" w:w="1728"/>
          </w:tcPr>
          <w:p>
            <w:r>
              <w:t>Standardized governing law language across contracts.</w:t>
            </w:r>
          </w:p>
        </w:tc>
      </w:tr>
      <w:tr>
        <w:tc>
          <w:tcPr>
            <w:tcW w:type="dxa" w:w="1728"/>
          </w:tcPr>
          <w:p>
            <w:r>
              <w:t>Dispute Resolution</w:t>
            </w:r>
          </w:p>
        </w:tc>
        <w:tc>
          <w:tcPr>
            <w:tcW w:type="dxa" w:w="1728"/>
          </w:tcPr>
          <w:p>
            <w:r>
              <w:t>Arbitration mechanism defined</w:t>
            </w:r>
          </w:p>
        </w:tc>
        <w:tc>
          <w:tcPr>
            <w:tcW w:type="dxa" w:w="1728"/>
          </w:tcPr>
          <w:p>
            <w:r>
              <w:t>Met</w:t>
            </w:r>
          </w:p>
        </w:tc>
        <w:tc>
          <w:tcPr>
            <w:tcW w:type="dxa" w:w="1728"/>
          </w:tcPr>
          <w:p>
            <w:r>
              <w:t>Disputes limited to laboratory test methodology shall</w:t>
              <w:br/>
              <w:t>first be referred to a technical expert in Mumbai; if the expert's determination is rejected, only the remaining legal dispute proceeds to</w:t>
              <w:br/>
              <w:t>Singapore arbitration.</w:t>
            </w:r>
          </w:p>
        </w:tc>
        <w:tc>
          <w:tcPr>
            <w:tcW w:type="dxa" w:w="1728"/>
          </w:tcPr>
          <w:p>
            <w:r>
              <w:t>Updated arbitration mechanism based on prior legal review.</w:t>
            </w:r>
          </w:p>
        </w:tc>
      </w:tr>
      <w:tr>
        <w:tc>
          <w:tcPr>
            <w:tcW w:type="dxa" w:w="1728"/>
          </w:tcPr>
          <w:p>
            <w:r>
              <w:t>Dispute Resolution</w:t>
            </w:r>
          </w:p>
        </w:tc>
        <w:tc>
          <w:tcPr>
            <w:tcW w:type="dxa" w:w="1728"/>
          </w:tcPr>
          <w:p>
            <w:r>
              <w:t>Seat of arbitration specified</w:t>
            </w:r>
          </w:p>
        </w:tc>
        <w:tc>
          <w:tcPr>
            <w:tcW w:type="dxa" w:w="1728"/>
          </w:tcPr>
          <w:p>
            <w:r>
              <w:t>Met</w:t>
            </w:r>
          </w:p>
        </w:tc>
        <w:tc>
          <w:tcPr>
            <w:tcW w:type="dxa" w:w="1728"/>
          </w:tcPr>
          <w:p>
            <w:r>
              <w:t>Disputes limited to laboratory test methodology shall</w:t>
              <w:br/>
              <w:t>first be referred to a technical expert in Mumbai; if the expert's determination is rejected, only the remaining legal dispute proceeds to</w:t>
              <w:br/>
              <w:t>Singapore arbitration.</w:t>
            </w:r>
          </w:p>
        </w:tc>
        <w:tc>
          <w:tcPr>
            <w:tcW w:type="dxa" w:w="1728"/>
          </w:tcPr>
          <w:p>
            <w:r>
              <w:t>Updated arbitration mechanism based on prior legal review.</w:t>
            </w:r>
          </w:p>
        </w:tc>
      </w:tr>
      <w:tr>
        <w:tc>
          <w:tcPr>
            <w:tcW w:type="dxa" w:w="1728"/>
          </w:tcPr>
          <w:p>
            <w:r>
              <w:t>Insurance</w:t>
            </w:r>
          </w:p>
        </w:tc>
        <w:tc>
          <w:tcPr>
            <w:tcW w:type="dxa" w:w="1728"/>
          </w:tcPr>
          <w:p>
            <w:r>
              <w:t>Insurance responsibilities defined</w:t>
            </w:r>
          </w:p>
        </w:tc>
        <w:tc>
          <w:tcPr>
            <w:tcW w:type="dxa" w:w="1728"/>
          </w:tcPr>
          <w:p>
            <w:r>
              <w:t>Met</w:t>
            </w:r>
          </w:p>
        </w:tc>
        <w:tc>
          <w:tcPr>
            <w:tcW w:type="dxa" w:w="1728"/>
          </w:tcPr>
          <w:p>
            <w:r>
              <w:t>Article 00511.4 - Delivery, Readiness, and Storage</w:t>
            </w:r>
          </w:p>
        </w:tc>
        <w:tc>
          <w:tcPr>
            <w:tcW w:type="dxa" w:w="1728"/>
          </w:tcPr>
          <w:p>
            <w:r>
              <w:t>Expanded insurance coverage obligations.</w:t>
            </w:r>
          </w:p>
        </w:tc>
      </w:tr>
      <w:tr>
        <w:tc>
          <w:tcPr>
            <w:tcW w:type="dxa" w:w="1728"/>
          </w:tcPr>
          <w:p>
            <w:r>
              <w:t>Insurance</w:t>
            </w:r>
          </w:p>
        </w:tc>
        <w:tc>
          <w:tcPr>
            <w:tcW w:type="dxa" w:w="1728"/>
          </w:tcPr>
          <w:p>
            <w:r>
              <w:t>Equipment damage covered while at buyer premises</w:t>
            </w:r>
          </w:p>
        </w:tc>
        <w:tc>
          <w:tcPr>
            <w:tcW w:type="dxa" w:w="1728"/>
          </w:tcPr>
          <w:p>
            <w:r>
              <w:t>Met</w:t>
            </w:r>
          </w:p>
        </w:tc>
        <w:tc>
          <w:tcPr>
            <w:tcW w:type="dxa" w:w="1728"/>
          </w:tcPr>
          <w:p>
            <w:r>
              <w:t>Storage charges are</w:t>
              <w:br/>
              <w:t>without prejudice to Supplier's right to claim insurance or preservation costs caused by abnormal storage conditions.</w:t>
            </w:r>
          </w:p>
        </w:tc>
        <w:tc>
          <w:tcPr>
            <w:tcW w:type="dxa" w:w="1728"/>
          </w:tcPr>
          <w:p>
            <w:r>
              <w:t>Expanded insurance coverage obligations.</w:t>
            </w:r>
          </w:p>
        </w:tc>
      </w:tr>
      <w:tr>
        <w:tc>
          <w:tcPr>
            <w:tcW w:type="dxa" w:w="1728"/>
          </w:tcPr>
          <w:p>
            <w:r>
              <w:t>Liability</w:t>
            </w:r>
          </w:p>
        </w:tc>
        <w:tc>
          <w:tcPr>
            <w:tcW w:type="dxa" w:w="1728"/>
          </w:tcPr>
          <w:p>
            <w:r>
              <w:t>Aggregate liability cap defined</w:t>
            </w:r>
          </w:p>
        </w:tc>
        <w:tc>
          <w:tcPr>
            <w:tcW w:type="dxa" w:w="1728"/>
          </w:tcPr>
          <w:p>
            <w:r>
              <w:t>Met</w:t>
            </w:r>
          </w:p>
        </w:tc>
        <w:tc>
          <w:tcPr>
            <w:tcW w:type="dxa" w:w="1728"/>
          </w:tcPr>
          <w:p>
            <w:r>
              <w:t>Supplier's aggregate liability for repair</w:t>
              <w:br/>
              <w:t>or replacement of defective equipment under this Article shall not exceed ten percent (10%) of the total Purchase Order value.</w:t>
            </w:r>
          </w:p>
        </w:tc>
        <w:tc>
          <w:tcPr>
            <w:tcW w:type="dxa" w:w="1728"/>
          </w:tcPr>
          <w:p>
            <w:r>
              <w:t>Reduced liability exposure through revised cap language.</w:t>
            </w:r>
          </w:p>
        </w:tc>
      </w:tr>
      <w:tr>
        <w:tc>
          <w:tcPr>
            <w:tcW w:type="dxa" w:w="1728"/>
          </w:tcPr>
          <w:p>
            <w:r>
              <w:t>Liability</w:t>
            </w:r>
          </w:p>
        </w:tc>
        <w:tc>
          <w:tcPr>
            <w:tcW w:type="dxa" w:w="1728"/>
          </w:tcPr>
          <w:p>
            <w:r>
              <w:t>Liability carve-outs defined</w:t>
            </w:r>
          </w:p>
        </w:tc>
        <w:tc>
          <w:tcPr>
            <w:tcW w:type="dxa" w:w="1728"/>
          </w:tcPr>
          <w:p>
            <w:r>
              <w:t>Partially Met</w:t>
            </w:r>
          </w:p>
        </w:tc>
        <w:tc>
          <w:tcPr>
            <w:tcW w:type="dxa" w:w="1728"/>
          </w:tcPr>
          <w:p>
            <w:r>
              <w:t>The cap in Article 00511.8.1 does not apply to direct costs of emergency removal, re-installation, or</w:t>
              <w:br/>
              <w:t>temporary site stabilization if the defect creates a safety shutdown.</w:t>
            </w:r>
          </w:p>
        </w:tc>
        <w:tc>
          <w:tcPr>
            <w:tcW w:type="dxa" w:w="1728"/>
          </w:tcPr>
          <w:p>
            <w:r>
              <w:t>Reduced liability exposure through revised cap language.</w:t>
            </w:r>
          </w:p>
        </w:tc>
      </w:tr>
      <w:tr>
        <w:tc>
          <w:tcPr>
            <w:tcW w:type="dxa" w:w="1728"/>
          </w:tcPr>
          <w:p>
            <w:r>
              <w:t>Consequential Damages</w:t>
            </w:r>
          </w:p>
        </w:tc>
        <w:tc>
          <w:tcPr>
            <w:tcW w:type="dxa" w:w="1728"/>
          </w:tcPr>
          <w:p>
            <w:r>
              <w:t>Consequential damages excluded</w:t>
            </w:r>
          </w:p>
        </w:tc>
        <w:tc>
          <w:tcPr>
            <w:tcW w:type="dxa" w:w="1728"/>
          </w:tcPr>
          <w:p>
            <w:r>
              <w:t>Partially Met</w:t>
            </w:r>
          </w:p>
        </w:tc>
        <w:tc>
          <w:tcPr>
            <w:tcW w:type="dxa" w:w="1728"/>
          </w:tcPr>
          <w:p>
            <w:r>
              <w:t>Neither party shall be liable to the other for loss of revenue, loss of profit, loss of use, loss</w:t>
              <w:br/>
              <w:t>of production, downtime, loss of business opportunity, indirect damages, special damages, punitive damages, exemplary damages, or</w:t>
              <w:br/>
              <w:t>consequential damages.</w:t>
            </w:r>
          </w:p>
        </w:tc>
        <w:tc>
          <w:tcPr>
            <w:tcW w:type="dxa" w:w="1728"/>
          </w:tcPr>
          <w:p>
            <w:r>
              <w:t>Clarified exclusions and carve-outs after legal review.</w:t>
            </w:r>
          </w:p>
        </w:tc>
      </w:tr>
      <w:tr>
        <w:tc>
          <w:tcPr>
            <w:tcW w:type="dxa" w:w="1728"/>
          </w:tcPr>
          <w:p>
            <w:r>
              <w:t>Consequential Damages</w:t>
            </w:r>
          </w:p>
        </w:tc>
        <w:tc>
          <w:tcPr>
            <w:tcW w:type="dxa" w:w="1728"/>
          </w:tcPr>
          <w:p>
            <w:r>
              <w:t>Exceptions to exclusion defined</w:t>
            </w:r>
          </w:p>
        </w:tc>
        <w:tc>
          <w:tcPr>
            <w:tcW w:type="dxa" w:w="1728"/>
          </w:tcPr>
          <w:p>
            <w:r>
              <w:t>Partially Met</w:t>
            </w:r>
          </w:p>
        </w:tc>
        <w:tc>
          <w:tcPr>
            <w:tcW w:type="dxa" w:w="1728"/>
          </w:tcPr>
          <w:p>
            <w:r>
              <w:t>Neither party shall be liable to the other for loss of revenue, loss of profit, loss of use, loss</w:t>
              <w:br/>
              <w:t>of production, downtime, loss of business opportunity, indirect damages, special damages, punitive damages, exemplary damages, or</w:t>
              <w:br/>
              <w:t>consequential damages.</w:t>
            </w:r>
          </w:p>
        </w:tc>
        <w:tc>
          <w:tcPr>
            <w:tcW w:type="dxa" w:w="1728"/>
          </w:tcPr>
          <w:p>
            <w:r>
              <w:t>Clarified exclusions and carve-outs after legal review.</w:t>
            </w:r>
          </w:p>
        </w:tc>
      </w:tr>
      <w:tr>
        <w:tc>
          <w:tcPr>
            <w:tcW w:type="dxa" w:w="1728"/>
          </w:tcPr>
          <w:p>
            <w:r>
              <w:t>Critical Sub-Suppliers</w:t>
            </w:r>
          </w:p>
        </w:tc>
        <w:tc>
          <w:tcPr>
            <w:tcW w:type="dxa" w:w="1728"/>
          </w:tcPr>
          <w:p>
            <w:r>
              <w:t>Approved critical vendors identified</w:t>
            </w:r>
          </w:p>
        </w:tc>
        <w:tc>
          <w:tcPr>
            <w:tcW w:type="dxa" w:w="1728"/>
          </w:tcPr>
          <w:p>
            <w:r>
              <w:t>Met</w:t>
            </w:r>
          </w:p>
        </w:tc>
        <w:tc>
          <w:tcPr>
            <w:tcW w:type="dxa" w:w="1728"/>
          </w:tcPr>
          <w:p>
            <w:r>
              <w:t>Annex D approved critical sub-suppliers: BrightForge Rings Pvt.</w:t>
            </w:r>
          </w:p>
        </w:tc>
        <w:tc>
          <w:tcPr>
            <w:tcW w:type="dxa" w:w="1728"/>
          </w:tcPr>
          <w:p>
            <w:r>
              <w:t>Approved alternate vendors and defined substitution controls.</w:t>
            </w:r>
          </w:p>
        </w:tc>
      </w:tr>
      <w:tr>
        <w:tc>
          <w:tcPr>
            <w:tcW w:type="dxa" w:w="1728"/>
          </w:tcPr>
          <w:p>
            <w:r>
              <w:t>Critical Sub-Suppliers</w:t>
            </w:r>
          </w:p>
        </w:tc>
        <w:tc>
          <w:tcPr>
            <w:tcW w:type="dxa" w:w="1728"/>
          </w:tcPr>
          <w:p>
            <w:r>
              <w:t>Vendor substitution restrictions defined</w:t>
            </w:r>
          </w:p>
        </w:tc>
        <w:tc>
          <w:tcPr>
            <w:tcW w:type="dxa" w:w="1728"/>
          </w:tcPr>
          <w:p>
            <w:r>
              <w:t>Met</w:t>
            </w:r>
          </w:p>
        </w:tc>
        <w:tc>
          <w:tcPr>
            <w:tcW w:type="dxa" w:w="1728"/>
          </w:tcPr>
          <w:p>
            <w:r>
              <w:t>Annex D approved critical sub-suppliers: BrightForge Rings Pvt.</w:t>
            </w:r>
          </w:p>
        </w:tc>
        <w:tc>
          <w:tcPr>
            <w:tcW w:type="dxa" w:w="1728"/>
          </w:tcPr>
          <w:p>
            <w:r>
              <w:t>Approved alternate vendors and defined substitution controls.</w:t>
            </w:r>
          </w:p>
        </w:tc>
      </w:tr>
      <w:tr>
        <w:tc>
          <w:tcPr>
            <w:tcW w:type="dxa" w:w="1728"/>
          </w:tcPr>
          <w:p>
            <w:r>
              <w:t>Payment Terms</w:t>
            </w:r>
          </w:p>
        </w:tc>
        <w:tc>
          <w:tcPr>
            <w:tcW w:type="dxa" w:w="1728"/>
          </w:tcPr>
          <w:p>
            <w:r>
              <w:t>All payments Net 30 days from invoice</w:t>
            </w:r>
          </w:p>
        </w:tc>
        <w:tc>
          <w:tcPr>
            <w:tcW w:type="dxa" w:w="1728"/>
          </w:tcPr>
          <w:p>
            <w:r>
              <w:t>Partially Met</w:t>
            </w:r>
          </w:p>
        </w:tc>
        <w:tc>
          <w:tcPr>
            <w:tcW w:type="dxa" w:w="1728"/>
          </w:tcPr>
          <w:p>
            <w:r>
              <w:t>Clause 00511.2.2 states: 'Buyer shall pay accepted invoices within thirty (30) days after receipt of a valid tax invoice.' However, the clause includes exceptions (disputed amounts) and modifies the timing trigger to start from the later acceptance record, not the invoice date.</w:t>
            </w:r>
          </w:p>
        </w:tc>
        <w:tc>
          <w:tcPr>
            <w:tcW w:type="dxa" w:w="1728"/>
          </w:tcPr>
          <w:p>
            <w:r>
              <w:t>Negotiated milestone-based payment schedule and removed conditional payment dependencies.</w:t>
            </w:r>
          </w:p>
        </w:tc>
      </w:tr>
      <w:tr>
        <w:tc>
          <w:tcPr>
            <w:tcW w:type="dxa" w:w="1728"/>
          </w:tcPr>
          <w:p>
            <w:r>
              <w:t>Payment Terms</w:t>
            </w:r>
          </w:p>
        </w:tc>
        <w:tc>
          <w:tcPr>
            <w:tcW w:type="dxa" w:w="1728"/>
          </w:tcPr>
          <w:p>
            <w:r>
              <w:t>Partial delivery and invoicing allowed</w:t>
            </w:r>
          </w:p>
        </w:tc>
        <w:tc>
          <w:tcPr>
            <w:tcW w:type="dxa" w:w="1728"/>
          </w:tcPr>
          <w:p>
            <w:r>
              <w:t>Met</w:t>
            </w:r>
          </w:p>
        </w:tc>
        <w:tc>
          <w:tcPr>
            <w:tcW w:type="dxa" w:w="1728"/>
          </w:tcPr>
          <w:p>
            <w:r>
              <w:t>Clause 00511.2.3 explicitly permits 'Supplier may dispatch Lot A, Lot B, and Lot C separately and may raise a corresponding invoice for each completed lot.'</w:t>
            </w:r>
          </w:p>
        </w:tc>
        <w:tc>
          <w:tcPr>
            <w:tcW w:type="dxa" w:w="1728"/>
          </w:tcPr>
          <w:p>
            <w:r>
              <w:t>Negotiated milestone-based payment schedule and removed conditional payment dependencies.</w:t>
            </w:r>
          </w:p>
        </w:tc>
      </w:tr>
    </w:tbl>
    <w:p>
      <w:r>
        <w:br w:type="page"/>
      </w:r>
    </w:p>
    <w:p>
      <w:pPr>
        <w:pStyle w:val="Heading2"/>
      </w:pPr>
      <w:r>
        <w:t>Table 2 - Risk Assessment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Clause</w:t>
            </w:r>
          </w:p>
        </w:tc>
        <w:tc>
          <w:tcPr>
            <w:tcW w:type="dxa" w:w="1440"/>
          </w:tcPr>
          <w:p>
            <w:r>
              <w:t>Requirement</w:t>
            </w:r>
          </w:p>
        </w:tc>
        <w:tc>
          <w:tcPr>
            <w:tcW w:type="dxa" w:w="1440"/>
          </w:tcPr>
          <w:p>
            <w:r>
              <w:t>RAG</w:t>
            </w:r>
          </w:p>
        </w:tc>
        <w:tc>
          <w:tcPr>
            <w:tcW w:type="dxa" w:w="1440"/>
          </w:tcPr>
          <w:p>
            <w:r>
              <w:t>Risk</w:t>
            </w:r>
          </w:p>
        </w:tc>
        <w:tc>
          <w:tcPr>
            <w:tcW w:type="dxa" w:w="1440"/>
          </w:tcPr>
          <w:p>
            <w:r>
              <w:t>Rationale</w:t>
            </w:r>
          </w:p>
        </w:tc>
        <w:tc>
          <w:tcPr>
            <w:tcW w:type="dxa" w:w="1440"/>
          </w:tcPr>
          <w:p>
            <w:r>
              <w:t>Mitigation</w:t>
            </w:r>
          </w:p>
        </w:tc>
      </w:tr>
      <w:tr>
        <w:tc>
          <w:tcPr>
            <w:tcW w:type="dxa" w:w="1440"/>
          </w:tcPr>
          <w:p>
            <w:r>
              <w:t>Payment Terms</w:t>
            </w:r>
          </w:p>
        </w:tc>
        <w:tc>
          <w:tcPr>
            <w:tcW w:type="dxa" w:w="1440"/>
          </w:tcPr>
          <w:p>
            <w:r>
              <w:t>45% Minimum Advance</w:t>
            </w:r>
          </w:p>
        </w:tc>
        <w:tc>
          <w:tcPr>
            <w:tcW w:type="dxa" w:w="1440"/>
          </w:tcPr>
          <w:p>
            <w:r>
              <w:t>Amber</w:t>
            </w:r>
          </w:p>
        </w:tc>
        <w:tc>
          <w:tcPr>
            <w:tcW w:type="dxa" w:w="1440"/>
          </w:tcPr>
          <w:p>
            <w:r>
              <w:t>Delayed payment due to conditional advance tranches.</w:t>
            </w:r>
          </w:p>
        </w:tc>
        <w:tc>
          <w:tcPr>
            <w:tcW w:type="dxa" w:w="1440"/>
          </w:tcPr>
          <w:p>
            <w:r>
              <w:t>The partially met compliance indicates a risk of delayed payments linked to multiple conditions (performance guarantee, kick-off minutes, first document submission). This creates cash flow uncertainty for the supplier and potential operational delays. The buyer's deferral option further complicates this.</w:t>
            </w:r>
          </w:p>
        </w:tc>
        <w:tc>
          <w:tcPr>
            <w:tcW w:type="dxa" w:w="1440"/>
          </w:tcPr>
          <w:p>
            <w:r>
              <w:t>Require objective evidence verification within 10 business days; define acceptance criteria clearly.</w:t>
            </w:r>
          </w:p>
        </w:tc>
      </w:tr>
      <w:tr>
        <w:tc>
          <w:tcPr>
            <w:tcW w:type="dxa" w:w="1440"/>
          </w:tcPr>
          <w:p>
            <w:r>
              <w:t>Bank Guarantees</w:t>
            </w:r>
          </w:p>
        </w:tc>
        <w:tc>
          <w:tcPr>
            <w:tcW w:type="dxa" w:w="1440"/>
          </w:tcPr>
          <w:p>
            <w:r>
              <w:t>Performance Guarantee not exceeding 10%</w:t>
            </w:r>
          </w:p>
        </w:tc>
        <w:tc>
          <w:tcPr>
            <w:tcW w:type="dxa" w:w="1440"/>
          </w:tcPr>
          <w:p>
            <w:r>
              <w:t>Red</w:t>
            </w:r>
          </w:p>
        </w:tc>
        <w:tc>
          <w:tcPr>
            <w:tcW w:type="dxa" w:w="1440"/>
          </w:tcPr>
          <w:p>
            <w:r>
              <w:t>Supplier exceeds performance security limits, creating financial exposure.</w:t>
            </w:r>
          </w:p>
        </w:tc>
        <w:tc>
          <w:tcPr>
            <w:tcW w:type="dxa" w:w="1440"/>
          </w:tcPr>
          <w:p>
            <w:r>
              <w:t>The Supplier is providing a bridge guarantee of 2% and a standard guarantee of 10%, totaling 12%. This exceeds the permitted limit of 10% as defined in Article 00511.3.1, potentially leading to increased costs or disputes regarding security obligations.</w:t>
            </w:r>
          </w:p>
        </w:tc>
        <w:tc>
          <w:tcPr>
            <w:tcW w:type="dxa" w:w="1440"/>
          </w:tcPr>
          <w:p>
            <w:r>
              <w:t>Reduce total performance security to a maximum of 10 percent including bridge guarantees.</w:t>
            </w:r>
          </w:p>
        </w:tc>
      </w:tr>
      <w:tr>
        <w:tc>
          <w:tcPr>
            <w:tcW w:type="dxa" w:w="1440"/>
          </w:tcPr>
          <w:p>
            <w:r>
              <w:t>Liquidated Damages</w:t>
            </w:r>
          </w:p>
        </w:tc>
        <w:tc>
          <w:tcPr>
            <w:tcW w:type="dxa" w:w="1440"/>
          </w:tcPr>
          <w:p>
            <w:r>
              <w:t>Documentation LD not applicable</w:t>
            </w:r>
          </w:p>
        </w:tc>
        <w:tc>
          <w:tcPr>
            <w:tcW w:type="dxa" w:w="1440"/>
          </w:tcPr>
          <w:p>
            <w:r>
              <w:t>Amber</w:t>
            </w:r>
          </w:p>
        </w:tc>
        <w:tc>
          <w:tcPr>
            <w:tcW w:type="dxa" w:w="1440"/>
          </w:tcPr>
          <w:p>
            <w:r>
              <w:t>Supplier may assess excessive liquidated damages due to capped exposure.</w:t>
            </w:r>
          </w:p>
        </w:tc>
        <w:tc>
          <w:tcPr>
            <w:tcW w:type="dxa" w:w="1440"/>
          </w:tcPr>
          <w:p>
            <w:r>
              <w:t>The clause limits LDs to 7.5% of the PO value, including Critical Dispatch Documents and service credits. This creates a potential overpayment risk if delays trigger multiple components within the cap, exceeding the intended damage assessment. It matters because it impacts cash flow and potentially violates cost control objectives.</w:t>
            </w:r>
          </w:p>
        </w:tc>
        <w:tc>
          <w:tcPr>
            <w:tcW w:type="dxa" w:w="1440"/>
          </w:tcPr>
          <w:p>
            <w:r>
              <w:t>Reduce aggregate LD and service-credit exposure to a maximum of 5 percent of PO value.</w:t>
            </w:r>
          </w:p>
        </w:tc>
      </w:tr>
      <w:tr>
        <w:tc>
          <w:tcPr>
            <w:tcW w:type="dxa" w:w="1440"/>
          </w:tcPr>
          <w:p>
            <w:r>
              <w:t>Liquidated Damages</w:t>
            </w:r>
          </w:p>
        </w:tc>
        <w:tc>
          <w:tcPr>
            <w:tcW w:type="dxa" w:w="1440"/>
          </w:tcPr>
          <w:p>
            <w:r>
              <w:t>Equipment Delivery LD 0.5% per week</w:t>
            </w:r>
          </w:p>
        </w:tc>
        <w:tc>
          <w:tcPr>
            <w:tcW w:type="dxa" w:w="1440"/>
          </w:tcPr>
          <w:p>
            <w:r>
              <w:t>Amber</w:t>
            </w:r>
          </w:p>
        </w:tc>
        <w:tc>
          <w:tcPr>
            <w:tcW w:type="dxa" w:w="1440"/>
          </w:tcPr>
          <w:p>
            <w:r>
              <w:t>Potential for significant liquidated damages exposure.</w:t>
            </w:r>
          </w:p>
        </w:tc>
        <w:tc>
          <w:tcPr>
            <w:tcW w:type="dxa" w:w="1440"/>
          </w:tcPr>
          <w:p>
            <w:r>
              <w:t>The clause establishes multiple caps on liquidated damages, including a 7.5% aggregate limit and a 5% limit on delayed equipment. This significantly restricts the Buyer's ability to recover costs associated with delivery delays, creating substantial financial risk.</w:t>
            </w:r>
          </w:p>
        </w:tc>
        <w:tc>
          <w:tcPr>
            <w:tcW w:type="dxa" w:w="1440"/>
          </w:tcPr>
          <w:p>
            <w:r>
              <w:t>Reduce aggregate LD and service-credit exposure to a maximum of 5 percent of PO value.</w:t>
            </w:r>
          </w:p>
        </w:tc>
      </w:tr>
      <w:tr>
        <w:tc>
          <w:tcPr>
            <w:tcW w:type="dxa" w:w="1440"/>
          </w:tcPr>
          <w:p>
            <w:r>
              <w:t>Liquidated Damages</w:t>
            </w:r>
          </w:p>
        </w:tc>
        <w:tc>
          <w:tcPr>
            <w:tcW w:type="dxa" w:w="1440"/>
          </w:tcPr>
          <w:p>
            <w:r>
              <w:t>Equipment Delivery LD capped at 5%</w:t>
            </w:r>
          </w:p>
        </w:tc>
        <w:tc>
          <w:tcPr>
            <w:tcW w:type="dxa" w:w="1440"/>
          </w:tcPr>
          <w:p>
            <w:r>
              <w:t>Amber</w:t>
            </w:r>
          </w:p>
        </w:tc>
        <w:tc>
          <w:tcPr>
            <w:tcW w:type="dxa" w:w="1440"/>
          </w:tcPr>
          <w:p>
            <w:r>
              <w:t>Potential for significant liquidated damages exposure due to capped limits.</w:t>
            </w:r>
          </w:p>
        </w:tc>
        <w:tc>
          <w:tcPr>
            <w:tcW w:type="dxa" w:w="1440"/>
          </w:tcPr>
          <w:p>
            <w:r>
              <w:t>The clause establishes multiple caps on LD – 0.5% per week, a maximum of 5% of the undelivered value, and a total aggregate cap of 7.5%. This creates uncertainty regarding potential liability and could result in substantial additional costs if delays occur.</w:t>
            </w:r>
          </w:p>
        </w:tc>
        <w:tc>
          <w:tcPr>
            <w:tcW w:type="dxa" w:w="1440"/>
          </w:tcPr>
          <w:p>
            <w:r>
              <w:t>Reduce aggregate LD and service-credit exposure to a maximum of 5 percent of PO value.</w:t>
            </w:r>
          </w:p>
        </w:tc>
      </w:tr>
      <w:tr>
        <w:tc>
          <w:tcPr>
            <w:tcW w:type="dxa" w:w="1440"/>
          </w:tcPr>
          <w:p>
            <w:r>
              <w:t>Liquidated Damages</w:t>
            </w:r>
          </w:p>
        </w:tc>
        <w:tc>
          <w:tcPr>
            <w:tcW w:type="dxa" w:w="1440"/>
          </w:tcPr>
          <w:p>
            <w:r>
              <w:t>Aggregate LD capped at 5% PO value</w:t>
            </w:r>
          </w:p>
        </w:tc>
        <w:tc>
          <w:tcPr>
            <w:tcW w:type="dxa" w:w="1440"/>
          </w:tcPr>
          <w:p>
            <w:r>
              <w:t>Red</w:t>
            </w:r>
          </w:p>
        </w:tc>
        <w:tc>
          <w:tcPr>
            <w:tcW w:type="dxa" w:w="1440"/>
          </w:tcPr>
          <w:p>
            <w:r>
              <w:t>Supplier may exceed liquidated damages cap, incurring significant costs.</w:t>
            </w:r>
          </w:p>
        </w:tc>
        <w:tc>
          <w:tcPr>
            <w:tcW w:type="dxa" w:w="1440"/>
          </w:tcPr>
          <w:p>
            <w:r>
              <w:t>The clause establishes a 7.5% aggregate LD cap but the Supplier has not met this requirement. This exposes the Buyer to potentially substantial additional payments due to delays, creating material financial risk and undermining cost control.</w:t>
            </w:r>
          </w:p>
        </w:tc>
        <w:tc>
          <w:tcPr>
            <w:tcW w:type="dxa" w:w="1440"/>
          </w:tcPr>
          <w:p>
            <w:r>
              <w:t>Reduce aggregate LD and service-credit exposure to a maximum of 5 percent of PO value.</w:t>
            </w:r>
          </w:p>
        </w:tc>
      </w:tr>
      <w:tr>
        <w:tc>
          <w:tcPr>
            <w:tcW w:type="dxa" w:w="1440"/>
          </w:tcPr>
          <w:p>
            <w:r>
              <w:t>Liquidated Damages</w:t>
            </w:r>
          </w:p>
        </w:tc>
        <w:tc>
          <w:tcPr>
            <w:tcW w:type="dxa" w:w="1440"/>
          </w:tcPr>
          <w:p>
            <w:r>
              <w:t>Remedial Work LD not applicable</w:t>
            </w:r>
          </w:p>
        </w:tc>
        <w:tc>
          <w:tcPr>
            <w:tcW w:type="dxa" w:w="1440"/>
          </w:tcPr>
          <w:p>
            <w:r>
              <w:t>Amber</w:t>
            </w:r>
          </w:p>
        </w:tc>
        <w:tc>
          <w:tcPr>
            <w:tcW w:type="dxa" w:w="1440"/>
          </w:tcPr>
          <w:p>
            <w:r>
              <w:t>Potential for significant liquidated damages exposure due to limitations.</w:t>
            </w:r>
          </w:p>
        </w:tc>
        <w:tc>
          <w:tcPr>
            <w:tcW w:type="dxa" w:w="1440"/>
          </w:tcPr>
          <w:p>
            <w:r>
              <w:t>The clause establishes multiple caps on LD, including a 7.5% aggregate limit and a 5% per-equipment limit. This significantly reduces the buyer's ability to recover costs associated with delivery delays, creating substantial payment risk.</w:t>
            </w:r>
          </w:p>
        </w:tc>
        <w:tc>
          <w:tcPr>
            <w:tcW w:type="dxa" w:w="1440"/>
          </w:tcPr>
          <w:p>
            <w:r>
              <w:t>Reduce aggregate LD and service-credit exposure to a maximum of 5 percent of PO value.</w:t>
            </w:r>
          </w:p>
        </w:tc>
      </w:tr>
      <w:tr>
        <w:tc>
          <w:tcPr>
            <w:tcW w:type="dxa" w:w="1440"/>
          </w:tcPr>
          <w:p>
            <w:r>
              <w:t>Guarantee</w:t>
            </w:r>
          </w:p>
        </w:tc>
        <w:tc>
          <w:tcPr>
            <w:tcW w:type="dxa" w:w="1440"/>
          </w:tcPr>
          <w:p>
            <w:r>
              <w:t>Warranty period defined</w:t>
            </w:r>
          </w:p>
        </w:tc>
        <w:tc>
          <w:tcPr>
            <w:tcW w:type="dxa" w:w="1440"/>
          </w:tcPr>
          <w:p>
            <w:r>
              <w:t>Amber</w:t>
            </w:r>
          </w:p>
        </w:tc>
        <w:tc>
          <w:tcPr>
            <w:tcW w:type="dxa" w:w="1440"/>
          </w:tcPr>
          <w:p>
            <w:r>
              <w:t>Extended guarantee periods create potential cost overruns.</w:t>
            </w:r>
          </w:p>
        </w:tc>
        <w:tc>
          <w:tcPr>
            <w:tcW w:type="dxa" w:w="1440"/>
          </w:tcPr>
          <w:p>
            <w:r>
              <w:t>The remedial guarantee of twelve months, coupled with the eighteen-month original dispatch warranty, introduces significant uncertainty regarding ongoing maintenance and repair costs. This extended duration increases the risk of unexpected expenses.</w:t>
            </w:r>
          </w:p>
        </w:tc>
        <w:tc>
          <w:tcPr>
            <w:tcW w:type="dxa" w:w="1440"/>
          </w:tcPr>
          <w:p>
            <w:r>
              <w:t>Limit guarantee period to the shortest allowable timeframe – eighteen months from original dispatch.</w:t>
            </w:r>
          </w:p>
        </w:tc>
      </w:tr>
      <w:tr>
        <w:tc>
          <w:tcPr>
            <w:tcW w:type="dxa" w:w="1440"/>
          </w:tcPr>
          <w:p>
            <w:r>
              <w:t>Guarantee</w:t>
            </w:r>
          </w:p>
        </w:tc>
        <w:tc>
          <w:tcPr>
            <w:tcW w:type="dxa" w:w="1440"/>
          </w:tcPr>
          <w:p>
            <w:r>
              <w:t>2 months from commissioning or 18 months from dispatch</w:t>
            </w:r>
          </w:p>
        </w:tc>
        <w:tc>
          <w:tcPr>
            <w:tcW w:type="dxa" w:w="1440"/>
          </w:tcPr>
          <w:p>
            <w:r>
              <w:t>Amber</w:t>
            </w:r>
          </w:p>
        </w:tc>
        <w:tc>
          <w:tcPr>
            <w:tcW w:type="dxa" w:w="1440"/>
          </w:tcPr>
          <w:p>
            <w:r>
              <w:t>Extended guarantee period creates potential liability exposure.</w:t>
            </w:r>
          </w:p>
        </w:tc>
        <w:tc>
          <w:tcPr>
            <w:tcW w:type="dxa" w:w="1440"/>
          </w:tcPr>
          <w:p>
            <w:r>
              <w:t>The clause provides a longer guarantee (18 months from dispatch) than the standard two-month guarantee, significantly increasing the Supplier's potential financial obligations and associated claims risk. This extended timeframe exposes the Buyer to prolonged repair costs.</w:t>
            </w:r>
          </w:p>
        </w:tc>
        <w:tc>
          <w:tcPr>
            <w:tcW w:type="dxa" w:w="1440"/>
          </w:tcPr>
          <w:p>
            <w:r>
              <w:t>Reduce the remedial guarantee period to twelve months from completion of repair or replacement.</w:t>
            </w:r>
          </w:p>
        </w:tc>
      </w:tr>
      <w:tr>
        <w:tc>
          <w:tcPr>
            <w:tcW w:type="dxa" w:w="1440"/>
          </w:tcPr>
          <w:p>
            <w:r>
              <w:t>Guarantee</w:t>
            </w:r>
          </w:p>
        </w:tc>
        <w:tc>
          <w:tcPr>
            <w:tcW w:type="dxa" w:w="1440"/>
          </w:tcPr>
          <w:p>
            <w:r>
              <w:t>Repair/replacement warranty obligations defined</w:t>
            </w:r>
          </w:p>
        </w:tc>
        <w:tc>
          <w:tcPr>
            <w:tcW w:type="dxa" w:w="1440"/>
          </w:tcPr>
          <w:p>
            <w:r>
              <w:t>Amber</w:t>
            </w:r>
          </w:p>
        </w:tc>
        <w:tc>
          <w:tcPr>
            <w:tcW w:type="dxa" w:w="1440"/>
          </w:tcPr>
          <w:p>
            <w:r>
              <w:t>Reduced guarantee period creates potential warranty claims.</w:t>
            </w:r>
          </w:p>
        </w:tc>
        <w:tc>
          <w:tcPr>
            <w:tcW w:type="dxa" w:w="1440"/>
          </w:tcPr>
          <w:p>
            <w:r>
              <w:t>The remedial guarantee of twelve months, potentially shorter than expected, exposes the Buyer to extended repair and replacement obligations. This could lead to increased costs and operational disruption if defects persist beyond the defined timeframe.</w:t>
            </w:r>
          </w:p>
        </w:tc>
        <w:tc>
          <w:tcPr>
            <w:tcW w:type="dxa" w:w="1440"/>
          </w:tcPr>
          <w:p>
            <w:r>
              <w:t>Require a minimum guarantee period of eighteen months from original dispatch.</w:t>
            </w:r>
          </w:p>
        </w:tc>
      </w:tr>
      <w:tr>
        <w:tc>
          <w:tcPr>
            <w:tcW w:type="dxa" w:w="1440"/>
          </w:tcPr>
          <w:p>
            <w:r>
              <w:t>Force Majeure</w:t>
            </w:r>
          </w:p>
        </w:tc>
        <w:tc>
          <w:tcPr>
            <w:tcW w:type="dxa" w:w="1440"/>
          </w:tcPr>
          <w:p>
            <w:r>
              <w:t>Force majeure events defined</w:t>
            </w:r>
          </w:p>
        </w:tc>
        <w:tc>
          <w:tcPr>
            <w:tcW w:type="dxa" w:w="1440"/>
          </w:tcPr>
          <w:p>
            <w:r>
              <w:t>Amber</w:t>
            </w:r>
          </w:p>
        </w:tc>
        <w:tc>
          <w:tcPr>
            <w:tcW w:type="dxa" w:w="1440"/>
          </w:tcPr>
          <w:p>
            <w:r>
              <w:t>Limited force majeure protection exposes the buyer to supply delays.</w:t>
            </w:r>
          </w:p>
        </w:tc>
        <w:tc>
          <w:tcPr>
            <w:tcW w:type="dxa" w:w="1440"/>
          </w:tcPr>
          <w:p>
            <w:r>
              <w:t>The clause's restriction to Tier-1 sub-suppliers and logistics carriers creates a significant vulnerability. The buyer is exposed to potential disruption if these key suppliers experience Force Majeure events, leading to non-performance or delivery delays without relief.</w:t>
            </w:r>
          </w:p>
        </w:tc>
        <w:tc>
          <w:tcPr>
            <w:tcW w:type="dxa" w:w="1440"/>
          </w:tcPr>
          <w:p>
            <w:r>
              <w:t>Expand force majeure protection to include all approved sub-contractors and logistics providers within the supply chain.</w:t>
            </w:r>
          </w:p>
        </w:tc>
      </w:tr>
      <w:tr>
        <w:tc>
          <w:tcPr>
            <w:tcW w:type="dxa" w:w="1440"/>
          </w:tcPr>
          <w:p>
            <w:r>
              <w:t>Force Majeure</w:t>
            </w:r>
          </w:p>
        </w:tc>
        <w:tc>
          <w:tcPr>
            <w:tcW w:type="dxa" w:w="1440"/>
          </w:tcPr>
          <w:p>
            <w:r>
              <w:t>Applies to subcontractors</w:t>
            </w:r>
          </w:p>
        </w:tc>
        <w:tc>
          <w:tcPr>
            <w:tcW w:type="dxa" w:w="1440"/>
          </w:tcPr>
          <w:p>
            <w:r>
              <w:t>Amber</w:t>
            </w:r>
          </w:p>
        </w:tc>
        <w:tc>
          <w:tcPr>
            <w:tcW w:type="dxa" w:w="1440"/>
          </w:tcPr>
          <w:p>
            <w:r>
              <w:t>Subcontractor force majeure exclusion creates payment risk.</w:t>
            </w:r>
          </w:p>
        </w:tc>
        <w:tc>
          <w:tcPr>
            <w:tcW w:type="dxa" w:w="1440"/>
          </w:tcPr>
          <w:p>
            <w:r>
              <w:t>The clause limits Force Majeure relief to named Tier-1 suppliers and approved logistics, excluding unnamed subcontractors. This exposes the client to potential non-performance or delays from sub-suppliers without recourse outlined in the standard Force Majeure provision.</w:t>
            </w:r>
          </w:p>
        </w:tc>
        <w:tc>
          <w:tcPr>
            <w:tcW w:type="dxa" w:w="1440"/>
          </w:tcPr>
          <w:p>
            <w:r>
              <w:t>Require supplier to extend force majeure protection to all approved subcontractors and logistics providers.</w:t>
            </w:r>
          </w:p>
        </w:tc>
      </w:tr>
      <w:tr>
        <w:tc>
          <w:tcPr>
            <w:tcW w:type="dxa" w:w="1440"/>
          </w:tcPr>
          <w:p>
            <w:r>
              <w:t>Force Majeure</w:t>
            </w:r>
          </w:p>
        </w:tc>
        <w:tc>
          <w:tcPr>
            <w:tcW w:type="dxa" w:w="1440"/>
          </w:tcPr>
          <w:p>
            <w:r>
              <w:t>Notice obligations defined</w:t>
            </w:r>
          </w:p>
        </w:tc>
        <w:tc>
          <w:tcPr>
            <w:tcW w:type="dxa" w:w="1440"/>
          </w:tcPr>
          <w:p>
            <w:r>
              <w:t>Amber</w:t>
            </w:r>
          </w:p>
        </w:tc>
        <w:tc>
          <w:tcPr>
            <w:tcW w:type="dxa" w:w="1440"/>
          </w:tcPr>
          <w:p>
            <w:r>
              <w:t>Limited Force Majeure scope creates potential payment delays.</w:t>
            </w:r>
          </w:p>
        </w:tc>
        <w:tc>
          <w:tcPr>
            <w:tcW w:type="dxa" w:w="1440"/>
          </w:tcPr>
          <w:p>
            <w:r>
              <w:t>The clause's restricted application to Tier-1 sub-suppliers and logistics carriers exposes the buyer to risks if these entities experience Force Majeure events, potentially delaying supplier performance and impacting payment schedules. The notice requirements further complicate this.</w:t>
            </w:r>
          </w:p>
        </w:tc>
        <w:tc>
          <w:tcPr>
            <w:tcW w:type="dxa" w:w="1440"/>
          </w:tcPr>
          <w:p>
            <w:r>
              <w:t>Expand Force Majeure coverage to include all approved subcontractors and logistics providers within the supply chain.</w:t>
            </w:r>
          </w:p>
        </w:tc>
      </w:tr>
      <w:tr>
        <w:tc>
          <w:tcPr>
            <w:tcW w:type="dxa" w:w="1440"/>
          </w:tcPr>
          <w:p>
            <w:r>
              <w:t>Termination</w:t>
            </w:r>
          </w:p>
        </w:tc>
        <w:tc>
          <w:tcPr>
            <w:tcW w:type="dxa" w:w="1440"/>
          </w:tcPr>
          <w:p>
            <w:r>
              <w:t>Termination rights defined</w:t>
            </w:r>
          </w:p>
        </w:tc>
        <w:tc>
          <w:tcPr>
            <w:tcW w:type="dxa" w:w="1440"/>
          </w:tcPr>
          <w:p>
            <w:r>
              <w:t>Green</w:t>
            </w:r>
          </w:p>
        </w:tc>
        <w:tc>
          <w:tcPr>
            <w:tcW w:type="dxa" w:w="1440"/>
          </w:tcPr>
          <w:p>
            <w:r>
              <w:t>Delayed payments due to escalating termination fees.</w:t>
            </w:r>
          </w:p>
        </w:tc>
        <w:tc>
          <w:tcPr>
            <w:tcW w:type="dxa" w:w="1440"/>
          </w:tcPr>
          <w:p>
            <w:r>
              <w:t>The clause outlines a tiered fee schedule based on the length of time after convenience cancellation, increasing significantly beyond 90 days. This creates a cash flow risk for the supplier if Buyer exercises this right, potentially leading to financial strain and operational disruption.</w:t>
            </w:r>
          </w:p>
        </w:tc>
        <w:tc>
          <w:tcPr>
            <w:tcW w:type="dxa" w:w="1440"/>
          </w:tcPr>
          <w:p>
            <w:r>
              <w:t>Establish a fixed termination payment cap, irrespective of delay duration, at a maximum defined percentage (e.g., 30%).</w:t>
            </w:r>
          </w:p>
        </w:tc>
      </w:tr>
      <w:tr>
        <w:tc>
          <w:tcPr>
            <w:tcW w:type="dxa" w:w="1440"/>
          </w:tcPr>
          <w:p>
            <w:r>
              <w:t>Termination</w:t>
            </w:r>
          </w:p>
        </w:tc>
        <w:tc>
          <w:tcPr>
            <w:tcW w:type="dxa" w:w="1440"/>
          </w:tcPr>
          <w:p>
            <w:r>
              <w:t>Cancellation fee structure defined</w:t>
            </w:r>
          </w:p>
        </w:tc>
        <w:tc>
          <w:tcPr>
            <w:tcW w:type="dxa" w:w="1440"/>
          </w:tcPr>
          <w:p>
            <w:r>
              <w:t>Green</w:t>
            </w:r>
          </w:p>
        </w:tc>
        <w:tc>
          <w:tcPr>
            <w:tcW w:type="dxa" w:w="1440"/>
          </w:tcPr>
          <w:p>
            <w:r>
              <w:t>Delayed payment due to complex cancellation fee schedule.</w:t>
            </w:r>
          </w:p>
        </w:tc>
        <w:tc>
          <w:tcPr>
            <w:tcW w:type="dxa" w:w="1440"/>
          </w:tcPr>
          <w:p>
            <w:r>
              <w:t>The clause outlines a tiered cancellation fee structure based on the length of time before Buyer cancellation, increasing significantly after 90 days. This introduces uncertainty regarding the final payment amount and potential cash flow implications for the Supplier.</w:t>
            </w:r>
          </w:p>
        </w:tc>
        <w:tc>
          <w:tcPr>
            <w:tcW w:type="dxa" w:w="1440"/>
          </w:tcPr>
          <w:p>
            <w:r>
              <w:t>Implement a standardized early termination process with fixed fees across all order values to mitigate schedule complexity.</w:t>
            </w:r>
          </w:p>
        </w:tc>
      </w:tr>
      <w:tr>
        <w:tc>
          <w:tcPr>
            <w:tcW w:type="dxa" w:w="1440"/>
          </w:tcPr>
          <w:p>
            <w:r>
              <w:t>Termination</w:t>
            </w:r>
          </w:p>
        </w:tc>
        <w:tc>
          <w:tcPr>
            <w:tcW w:type="dxa" w:w="1440"/>
          </w:tcPr>
          <w:p>
            <w:r>
              <w:t>61-90 day cancellation fee 40%</w:t>
            </w:r>
          </w:p>
        </w:tc>
        <w:tc>
          <w:tcPr>
            <w:tcW w:type="dxa" w:w="1440"/>
          </w:tcPr>
          <w:p>
            <w:r>
              <w:t>Red</w:t>
            </w:r>
          </w:p>
        </w:tc>
        <w:tc>
          <w:tcPr>
            <w:tcW w:type="dxa" w:w="1440"/>
          </w:tcPr>
          <w:p>
            <w:r>
              <w:t>Failure to pay cancellation fee exposes the buyer to increased costs.</w:t>
            </w:r>
          </w:p>
        </w:tc>
        <w:tc>
          <w:tcPr>
            <w:tcW w:type="dxa" w:w="1440"/>
          </w:tcPr>
          <w:p>
            <w:r>
              <w:t>The contract stipulates a percentage-based cancellation fee dependent on the length of notice. The non-compliance creates an exposure for the buyer to pay a higher termination fee than outlined in the agreement, impacting cash flow and potentially increasing financial liability.</w:t>
            </w:r>
          </w:p>
        </w:tc>
        <w:tc>
          <w:tcPr>
            <w:tcW w:type="dxa" w:w="1440"/>
          </w:tcPr>
          <w:p>
            <w:r>
              <w:t>Implement rigorous invoice validation processes to ensure accurate calculation and timely payment of the applicable cancellation fee.</w:t>
            </w:r>
          </w:p>
        </w:tc>
      </w:tr>
      <w:tr>
        <w:tc>
          <w:tcPr>
            <w:tcW w:type="dxa" w:w="1440"/>
          </w:tcPr>
          <w:p>
            <w:r>
              <w:t>Suspension</w:t>
            </w:r>
          </w:p>
        </w:tc>
        <w:tc>
          <w:tcPr>
            <w:tcW w:type="dxa" w:w="1440"/>
          </w:tcPr>
          <w:p>
            <w:r>
              <w:t>Maximum 2 suspensions and 30 days aggregate</w:t>
            </w:r>
          </w:p>
        </w:tc>
        <w:tc>
          <w:tcPr>
            <w:tcW w:type="dxa" w:w="1440"/>
          </w:tcPr>
          <w:p>
            <w:r>
              <w:t>Amber</w:t>
            </w:r>
          </w:p>
        </w:tc>
        <w:tc>
          <w:tcPr>
            <w:tcW w:type="dxa" w:w="1440"/>
          </w:tcPr>
          <w:p>
            <w:r>
              <w:t>Potential for increased costs due to excessive suspensions.</w:t>
            </w:r>
          </w:p>
        </w:tc>
        <w:tc>
          <w:tcPr>
            <w:tcW w:type="dxa" w:w="1440"/>
          </w:tcPr>
          <w:p>
            <w:r>
              <w:t>The clause allows up to two commercial convenience suspensions totaling thirty days, excluding regulatory stoppages. Partial compliance means the Buyer could potentially exceed this limit without triggering compensable change orders, exposing the Supplier to unexpected delays and related costs.</w:t>
            </w:r>
          </w:p>
        </w:tc>
        <w:tc>
          <w:tcPr>
            <w:tcW w:type="dxa" w:w="1440"/>
          </w:tcPr>
          <w:p>
            <w:r>
              <w:t>Implement a rigorous tracking system for all suspension requests and their durations, enforcing strict adherence to the 30-day aggregate limit.</w:t>
            </w:r>
          </w:p>
        </w:tc>
      </w:tr>
      <w:tr>
        <w:tc>
          <w:tcPr>
            <w:tcW w:type="dxa" w:w="1440"/>
          </w:tcPr>
          <w:p>
            <w:r>
              <w:t>Suspension</w:t>
            </w:r>
          </w:p>
        </w:tc>
        <w:tc>
          <w:tcPr>
            <w:tcW w:type="dxa" w:w="1440"/>
          </w:tcPr>
          <w:p>
            <w:r>
              <w:t>Supplier obligations during suspension defined</w:t>
            </w:r>
          </w:p>
        </w:tc>
        <w:tc>
          <w:tcPr>
            <w:tcW w:type="dxa" w:w="1440"/>
          </w:tcPr>
          <w:p>
            <w:r>
              <w:t>Green</w:t>
            </w:r>
          </w:p>
        </w:tc>
        <w:tc>
          <w:tcPr>
            <w:tcW w:type="dxa" w:w="1440"/>
          </w:tcPr>
          <w:p>
            <w:r>
              <w:t>Buyer's discretionary suspension power creates potential cash flow disruption.</w:t>
            </w:r>
          </w:p>
        </w:tc>
        <w:tc>
          <w:tcPr>
            <w:tcW w:type="dxa" w:w="1440"/>
          </w:tcPr>
          <w:p>
            <w:r>
              <w:t>The clause allows for two commercial convenience suspensions up to 30 days, contingent on supplier agreement. Exceeding this limit triggers a change order, potentially leading to unexpected costs and delays impacting payment schedules and forecasts.</w:t>
            </w:r>
          </w:p>
        </w:tc>
        <w:tc>
          <w:tcPr>
            <w:tcW w:type="dxa" w:w="1440"/>
          </w:tcPr>
          <w:p>
            <w:r>
              <w:t>Require written prior approval for any suspension exceeding the stated limits.</w:t>
            </w:r>
          </w:p>
        </w:tc>
      </w:tr>
      <w:tr>
        <w:tc>
          <w:tcPr>
            <w:tcW w:type="dxa" w:w="1440"/>
          </w:tcPr>
          <w:p>
            <w:r>
              <w:t>Governing Law</w:t>
            </w:r>
          </w:p>
        </w:tc>
        <w:tc>
          <w:tcPr>
            <w:tcW w:type="dxa" w:w="1440"/>
          </w:tcPr>
          <w:p>
            <w:r>
              <w:t>Applicable law specified</w:t>
            </w:r>
          </w:p>
        </w:tc>
        <w:tc>
          <w:tcPr>
            <w:tcW w:type="dxa" w:w="1440"/>
          </w:tcPr>
          <w:p>
            <w:r>
              <w:t>Amber</w:t>
            </w:r>
          </w:p>
        </w:tc>
        <w:tc>
          <w:tcPr>
            <w:tcW w:type="dxa" w:w="1440"/>
          </w:tcPr>
          <w:p>
            <w:r>
              <w:t>Increased legal and jurisdictional risk due to India governance.</w:t>
            </w:r>
          </w:p>
        </w:tc>
        <w:tc>
          <w:tcPr>
            <w:tcW w:type="dxa" w:w="1440"/>
          </w:tcPr>
          <w:p>
            <w:r>
              <w:t>Governing law is solely India, excluding conflict of laws. This limits the applicability of international legal principles and potentially exposes us to Indian regulations which may be less favorable than our standard practice. The clause offers limited protection.</w:t>
            </w:r>
          </w:p>
        </w:tc>
        <w:tc>
          <w:tcPr>
            <w:tcW w:type="dxa" w:w="1440"/>
          </w:tcPr>
          <w:p>
            <w:r>
              <w:t>Require governing law to be [Specified Jurisdiction - e.g., Delaware] for all contracts.</w:t>
            </w:r>
          </w:p>
        </w:tc>
      </w:tr>
      <w:tr>
        <w:tc>
          <w:tcPr>
            <w:tcW w:type="dxa" w:w="1440"/>
          </w:tcPr>
          <w:p>
            <w:r>
              <w:t>Dispute Resolution</w:t>
            </w:r>
          </w:p>
        </w:tc>
        <w:tc>
          <w:tcPr>
            <w:tcW w:type="dxa" w:w="1440"/>
          </w:tcPr>
          <w:p>
            <w:r>
              <w:t>Arbitration mechanism defined</w:t>
            </w:r>
          </w:p>
        </w:tc>
        <w:tc>
          <w:tcPr>
            <w:tcW w:type="dxa" w:w="1440"/>
          </w:tcPr>
          <w:p>
            <w:r>
              <w:t>Green</w:t>
            </w:r>
          </w:p>
        </w:tc>
        <w:tc>
          <w:tcPr>
            <w:tcW w:type="dxa" w:w="1440"/>
          </w:tcPr>
          <w:p>
            <w:r>
              <w:t>Arbitration process may prove costly and time-consuming.</w:t>
            </w:r>
          </w:p>
        </w:tc>
        <w:tc>
          <w:tcPr>
            <w:tcW w:type="dxa" w:w="1440"/>
          </w:tcPr>
          <w:p>
            <w:r>
              <w:t>The two-stage dispute resolution – initial expert determination followed by arbitration – introduces potential delays and expenses. The Mumbai expert step adds an additional layer of complexity and cost if rejected.</w:t>
            </w:r>
          </w:p>
        </w:tc>
        <w:tc>
          <w:tcPr>
            <w:tcW w:type="dxa" w:w="1440"/>
          </w:tcPr>
          <w:p>
            <w:r>
              <w:t>Implement a clearly defined protocol for managing expert determinations to minimize unnecessary escalation to Singapore arbitration.</w:t>
            </w:r>
          </w:p>
        </w:tc>
      </w:tr>
      <w:tr>
        <w:tc>
          <w:tcPr>
            <w:tcW w:type="dxa" w:w="1440"/>
          </w:tcPr>
          <w:p>
            <w:r>
              <w:t>Dispute Resolution</w:t>
            </w:r>
          </w:p>
        </w:tc>
        <w:tc>
          <w:tcPr>
            <w:tcW w:type="dxa" w:w="1440"/>
          </w:tcPr>
          <w:p>
            <w:r>
              <w:t>Seat of arbitration specified</w:t>
            </w:r>
          </w:p>
        </w:tc>
        <w:tc>
          <w:tcPr>
            <w:tcW w:type="dxa" w:w="1440"/>
          </w:tcPr>
          <w:p>
            <w:r>
              <w:t>Green</w:t>
            </w:r>
          </w:p>
        </w:tc>
        <w:tc>
          <w:tcPr>
            <w:tcW w:type="dxa" w:w="1440"/>
          </w:tcPr>
          <w:p>
            <w:r>
              <w:t>Arbitration seat limitations may escalate disputes costs.</w:t>
            </w:r>
          </w:p>
        </w:tc>
        <w:tc>
          <w:tcPr>
            <w:tcW w:type="dxa" w:w="1440"/>
          </w:tcPr>
          <w:p>
            <w:r>
              <w:t>The clause dictates a two-stage process: initial expert determination in Mumbai followed by arbitration only for remaining legal disputes in Singapore. This bifurcated approach introduces potential delays and increased legal fees due to the need to engage with both jurisdictions, potentially increasing overall dispute resolution expenses.</w:t>
            </w:r>
          </w:p>
        </w:tc>
        <w:tc>
          <w:tcPr>
            <w:tcW w:type="dxa" w:w="1440"/>
          </w:tcPr>
          <w:p>
            <w:r>
              <w:t>Establish clear guidelines regarding escalation criteria and associated cost allocation between parties.</w:t>
            </w:r>
          </w:p>
        </w:tc>
      </w:tr>
      <w:tr>
        <w:tc>
          <w:tcPr>
            <w:tcW w:type="dxa" w:w="1440"/>
          </w:tcPr>
          <w:p>
            <w:r>
              <w:t>Liability</w:t>
            </w:r>
          </w:p>
        </w:tc>
        <w:tc>
          <w:tcPr>
            <w:tcW w:type="dxa" w:w="1440"/>
          </w:tcPr>
          <w:p>
            <w:r>
              <w:t>Liability carve-outs defined</w:t>
            </w:r>
          </w:p>
        </w:tc>
        <w:tc>
          <w:tcPr>
            <w:tcW w:type="dxa" w:w="1440"/>
          </w:tcPr>
          <w:p>
            <w:r>
              <w:t>Amber</w:t>
            </w:r>
          </w:p>
        </w:tc>
        <w:tc>
          <w:tcPr>
            <w:tcW w:type="dxa" w:w="1440"/>
          </w:tcPr>
          <w:p>
            <w:r>
              <w:t>Reduced liability coverage for safety shutdown emergencies.</w:t>
            </w:r>
          </w:p>
        </w:tc>
        <w:tc>
          <w:tcPr>
            <w:tcW w:type="dxa" w:w="1440"/>
          </w:tcPr>
          <w:p>
            <w:r>
              <w:t>The clause excludes emergency removal costs when a defect triggers a safety shutdown, effectively limiting the supplier's liability cap. This creates significant exposure if such an event occurs, potentially leading to substantial uninsured damages and increased financial risk.</w:t>
            </w:r>
          </w:p>
        </w:tc>
        <w:tc>
          <w:tcPr>
            <w:tcW w:type="dxa" w:w="1440"/>
          </w:tcPr>
          <w:p>
            <w:r>
              <w:t>Define 'safety shutdown' with clear triggering criteria and extend the 10% liability cap to cover these excluded emergency costs.</w:t>
            </w:r>
          </w:p>
        </w:tc>
      </w:tr>
      <w:tr>
        <w:tc>
          <w:tcPr>
            <w:tcW w:type="dxa" w:w="1440"/>
          </w:tcPr>
          <w:p>
            <w:r>
              <w:t>Consequential Damages</w:t>
            </w:r>
          </w:p>
        </w:tc>
        <w:tc>
          <w:tcPr>
            <w:tcW w:type="dxa" w:w="1440"/>
          </w:tcPr>
          <w:p>
            <w:r>
              <w:t>Consequential damages excluded</w:t>
            </w:r>
          </w:p>
        </w:tc>
        <w:tc>
          <w:tcPr>
            <w:tcW w:type="dxa" w:w="1440"/>
          </w:tcPr>
          <w:p>
            <w:r>
              <w:t>Amber</w:t>
            </w:r>
          </w:p>
        </w:tc>
        <w:tc>
          <w:tcPr>
            <w:tcW w:type="dxa" w:w="1440"/>
          </w:tcPr>
          <w:p>
            <w:r>
              <w:t>Partial exclusion of consequential damages exposes the company to significant financial risk.</w:t>
            </w:r>
          </w:p>
        </w:tc>
        <w:tc>
          <w:tcPr>
            <w:tcW w:type="dxa" w:w="1440"/>
          </w:tcPr>
          <w:p>
            <w:r>
              <w:t>Despite a broad exclusion, exceptions exist for specific events like confidentiality breaches and gross negligence. This creates uncertainty regarding liability coverage for unforeseen losses beyond direct damages, potentially leading to unexpected costs and disputes. The clause's partial fulfillment indicates insufficient protection.</w:t>
            </w:r>
          </w:p>
        </w:tc>
        <w:tc>
          <w:tcPr>
            <w:tcW w:type="dxa" w:w="1440"/>
          </w:tcPr>
          <w:p>
            <w:r>
              <w:t>Implement enhanced due diligence on key performance indicators and establish clear trigger points for consequential loss claims based on the defined exceptions.</w:t>
            </w:r>
          </w:p>
        </w:tc>
      </w:tr>
      <w:tr>
        <w:tc>
          <w:tcPr>
            <w:tcW w:type="dxa" w:w="1440"/>
          </w:tcPr>
          <w:p>
            <w:r>
              <w:t>Consequential Damages</w:t>
            </w:r>
          </w:p>
        </w:tc>
        <w:tc>
          <w:tcPr>
            <w:tcW w:type="dxa" w:w="1440"/>
          </w:tcPr>
          <w:p>
            <w:r>
              <w:t>Exceptions to exclusion defined</w:t>
            </w:r>
          </w:p>
        </w:tc>
        <w:tc>
          <w:tcPr>
            <w:tcW w:type="dxa" w:w="1440"/>
          </w:tcPr>
          <w:p>
            <w:r>
              <w:t>Amber</w:t>
            </w:r>
          </w:p>
        </w:tc>
        <w:tc>
          <w:tcPr>
            <w:tcW w:type="dxa" w:w="1440"/>
          </w:tcPr>
          <w:p>
            <w:r>
              <w:t>Potential for significant liability despite exclusion.</w:t>
            </w:r>
          </w:p>
        </w:tc>
        <w:tc>
          <w:tcPr>
            <w:tcW w:type="dxa" w:w="1440"/>
          </w:tcPr>
          <w:p>
            <w:r>
              <w:t>The clause excludes many potential damages, but numerous exceptions exist. These include breaches of confidentiality, indemnity obligations, and specific types of negligence, creating a substantial exposure if any of these triggers occur. This exposes the client to potentially unlimited costs.</w:t>
            </w:r>
          </w:p>
        </w:tc>
        <w:tc>
          <w:tcPr>
            <w:tcW w:type="dxa" w:w="1440"/>
          </w:tcPr>
          <w:p>
            <w:r>
              <w:t>Expand exclusions to include broader definitions of negligence and ensure all exceptions are thoroughly vetted for applicability.</w:t>
            </w:r>
          </w:p>
        </w:tc>
      </w:tr>
      <w:tr>
        <w:tc>
          <w:tcPr>
            <w:tcW w:type="dxa" w:w="1440"/>
          </w:tcPr>
          <w:p>
            <w:r>
              <w:t>Payment Terms</w:t>
            </w:r>
          </w:p>
        </w:tc>
        <w:tc>
          <w:tcPr>
            <w:tcW w:type="dxa" w:w="1440"/>
          </w:tcPr>
          <w:p>
            <w:r>
              <w:t>All payments Net 30 days from invoice</w:t>
            </w:r>
          </w:p>
        </w:tc>
        <w:tc>
          <w:tcPr>
            <w:tcW w:type="dxa" w:w="1440"/>
          </w:tcPr>
          <w:p>
            <w:r>
              <w:t>Amber</w:t>
            </w:r>
          </w:p>
        </w:tc>
        <w:tc>
          <w:tcPr>
            <w:tcW w:type="dxa" w:w="1440"/>
          </w:tcPr>
          <w:p>
            <w:r>
              <w:t>Delayed payment exposure due to acceptance exceptions.</w:t>
            </w:r>
          </w:p>
        </w:tc>
        <w:tc>
          <w:tcPr>
            <w:tcW w:type="dxa" w:w="1440"/>
          </w:tcPr>
          <w:p>
            <w:r>
              <w:t>The clause's reliance on 'acceptance record' introduces ambiguity regarding invoice trigger dates. This creates a risk of delayed payments if the buyer disputes an invoice, extending the payment term beyond Net 30 days, impacting cash flow and potentially incurring late payment penalties.</w:t>
            </w:r>
          </w:p>
        </w:tc>
        <w:tc>
          <w:tcPr>
            <w:tcW w:type="dxa" w:w="1440"/>
          </w:tcPr>
          <w:p>
            <w:r>
              <w:t>Specify clear acceptance criteria for invoices and define the definitive invoice receipt date triggering the Net 30 payment obligation.</w:t>
            </w:r>
          </w:p>
        </w:tc>
      </w:tr>
    </w:tbl>
    <w:p>
      <w:r>
        <w:br w:type="page"/>
      </w:r>
    </w:p>
    <w:p>
      <w:pPr>
        <w:pStyle w:val="Heading2"/>
      </w:pPr>
      <w:r>
        <w:t>Table 3 - Mitigation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t>Clause</w:t>
            </w:r>
          </w:p>
        </w:tc>
        <w:tc>
          <w:tcPr>
            <w:tcW w:type="dxa" w:w="2880"/>
          </w:tcPr>
          <w:p>
            <w:r>
              <w:t>Risk</w:t>
            </w:r>
          </w:p>
        </w:tc>
        <w:tc>
          <w:tcPr>
            <w:tcW w:type="dxa" w:w="2880"/>
          </w:tcPr>
          <w:p>
            <w:r>
              <w:t>Mitigation Recommendation</w:t>
            </w:r>
          </w:p>
        </w:tc>
      </w:tr>
      <w:tr>
        <w:tc>
          <w:tcPr>
            <w:tcW w:type="dxa" w:w="2880"/>
          </w:tcPr>
          <w:p>
            <w:r>
              <w:t>Payment Terms</w:t>
            </w:r>
          </w:p>
        </w:tc>
        <w:tc>
          <w:tcPr>
            <w:tcW w:type="dxa" w:w="2880"/>
          </w:tcPr>
          <w:p>
            <w:r>
              <w:t>45% Minimum Advance</w:t>
            </w:r>
          </w:p>
        </w:tc>
        <w:tc>
          <w:tcPr>
            <w:tcW w:type="dxa" w:w="2880"/>
          </w:tcPr>
          <w:p>
            <w:r>
              <w:t>Require objective evidence verification within 10 business days; define acceptance criteria clearly.</w:t>
            </w:r>
          </w:p>
        </w:tc>
      </w:tr>
      <w:tr>
        <w:tc>
          <w:tcPr>
            <w:tcW w:type="dxa" w:w="2880"/>
          </w:tcPr>
          <w:p>
            <w:r>
              <w:t>Bank Guarantees</w:t>
            </w:r>
          </w:p>
        </w:tc>
        <w:tc>
          <w:tcPr>
            <w:tcW w:type="dxa" w:w="2880"/>
          </w:tcPr>
          <w:p>
            <w:r>
              <w:t>Performance Guarantee not exceeding 10%</w:t>
            </w:r>
          </w:p>
        </w:tc>
        <w:tc>
          <w:tcPr>
            <w:tcW w:type="dxa" w:w="2880"/>
          </w:tcPr>
          <w:p>
            <w:r>
              <w:t>Reduce total performance security to a maximum of 10 percent including bridge guarantees.</w:t>
            </w:r>
          </w:p>
        </w:tc>
      </w:tr>
      <w:tr>
        <w:tc>
          <w:tcPr>
            <w:tcW w:type="dxa" w:w="2880"/>
          </w:tcPr>
          <w:p>
            <w:r>
              <w:t>Liquidated Damages</w:t>
            </w:r>
          </w:p>
        </w:tc>
        <w:tc>
          <w:tcPr>
            <w:tcW w:type="dxa" w:w="2880"/>
          </w:tcPr>
          <w:p>
            <w:r>
              <w:t>Documentation LD not applicable</w:t>
            </w:r>
          </w:p>
        </w:tc>
        <w:tc>
          <w:tcPr>
            <w:tcW w:type="dxa" w:w="2880"/>
          </w:tcPr>
          <w:p>
            <w:r>
              <w:t>Reduce aggregate LD and service-credit exposure to a maximum of 5 percent of PO value.</w:t>
            </w:r>
          </w:p>
        </w:tc>
      </w:tr>
      <w:tr>
        <w:tc>
          <w:tcPr>
            <w:tcW w:type="dxa" w:w="2880"/>
          </w:tcPr>
          <w:p>
            <w:r>
              <w:t>Liquidated Damages</w:t>
            </w:r>
          </w:p>
        </w:tc>
        <w:tc>
          <w:tcPr>
            <w:tcW w:type="dxa" w:w="2880"/>
          </w:tcPr>
          <w:p>
            <w:r>
              <w:t>Equipment Delivery LD 0.5% per week</w:t>
            </w:r>
          </w:p>
        </w:tc>
        <w:tc>
          <w:tcPr>
            <w:tcW w:type="dxa" w:w="2880"/>
          </w:tcPr>
          <w:p>
            <w:r>
              <w:t>Reduce aggregate LD and service-credit exposure to a maximum of 5 percent of PO value.</w:t>
            </w:r>
          </w:p>
        </w:tc>
      </w:tr>
      <w:tr>
        <w:tc>
          <w:tcPr>
            <w:tcW w:type="dxa" w:w="2880"/>
          </w:tcPr>
          <w:p>
            <w:r>
              <w:t>Liquidated Damages</w:t>
            </w:r>
          </w:p>
        </w:tc>
        <w:tc>
          <w:tcPr>
            <w:tcW w:type="dxa" w:w="2880"/>
          </w:tcPr>
          <w:p>
            <w:r>
              <w:t>Equipment Delivery LD capped at 5%</w:t>
            </w:r>
          </w:p>
        </w:tc>
        <w:tc>
          <w:tcPr>
            <w:tcW w:type="dxa" w:w="2880"/>
          </w:tcPr>
          <w:p>
            <w:r>
              <w:t>Reduce aggregate LD and service-credit exposure to a maximum of 5 percent of PO value.</w:t>
            </w:r>
          </w:p>
        </w:tc>
      </w:tr>
      <w:tr>
        <w:tc>
          <w:tcPr>
            <w:tcW w:type="dxa" w:w="2880"/>
          </w:tcPr>
          <w:p>
            <w:r>
              <w:t>Liquidated Damages</w:t>
            </w:r>
          </w:p>
        </w:tc>
        <w:tc>
          <w:tcPr>
            <w:tcW w:type="dxa" w:w="2880"/>
          </w:tcPr>
          <w:p>
            <w:r>
              <w:t>Aggregate LD capped at 5% PO value</w:t>
            </w:r>
          </w:p>
        </w:tc>
        <w:tc>
          <w:tcPr>
            <w:tcW w:type="dxa" w:w="2880"/>
          </w:tcPr>
          <w:p>
            <w:r>
              <w:t>Reduce aggregate LD and service-credit exposure to a maximum of 5 percent of PO value.</w:t>
            </w:r>
          </w:p>
        </w:tc>
      </w:tr>
      <w:tr>
        <w:tc>
          <w:tcPr>
            <w:tcW w:type="dxa" w:w="2880"/>
          </w:tcPr>
          <w:p>
            <w:r>
              <w:t>Liquidated Damages</w:t>
            </w:r>
          </w:p>
        </w:tc>
        <w:tc>
          <w:tcPr>
            <w:tcW w:type="dxa" w:w="2880"/>
          </w:tcPr>
          <w:p>
            <w:r>
              <w:t>Remedial Work LD not applicable</w:t>
            </w:r>
          </w:p>
        </w:tc>
        <w:tc>
          <w:tcPr>
            <w:tcW w:type="dxa" w:w="2880"/>
          </w:tcPr>
          <w:p>
            <w:r>
              <w:t>Reduce aggregate LD and service-credit exposure to a maximum of 5 percent of PO value.</w:t>
            </w:r>
          </w:p>
        </w:tc>
      </w:tr>
      <w:tr>
        <w:tc>
          <w:tcPr>
            <w:tcW w:type="dxa" w:w="2880"/>
          </w:tcPr>
          <w:p>
            <w:r>
              <w:t>Guarantee</w:t>
            </w:r>
          </w:p>
        </w:tc>
        <w:tc>
          <w:tcPr>
            <w:tcW w:type="dxa" w:w="2880"/>
          </w:tcPr>
          <w:p>
            <w:r>
              <w:t>Warranty period defined</w:t>
            </w:r>
          </w:p>
        </w:tc>
        <w:tc>
          <w:tcPr>
            <w:tcW w:type="dxa" w:w="2880"/>
          </w:tcPr>
          <w:p>
            <w:r>
              <w:t>Limit guarantee period to the shortest allowable timeframe – eighteen months from original dispatch.</w:t>
            </w:r>
          </w:p>
        </w:tc>
      </w:tr>
      <w:tr>
        <w:tc>
          <w:tcPr>
            <w:tcW w:type="dxa" w:w="2880"/>
          </w:tcPr>
          <w:p>
            <w:r>
              <w:t>Guarantee</w:t>
            </w:r>
          </w:p>
        </w:tc>
        <w:tc>
          <w:tcPr>
            <w:tcW w:type="dxa" w:w="2880"/>
          </w:tcPr>
          <w:p>
            <w:r>
              <w:t>2 months from commissioning or 18 months from dispatch</w:t>
            </w:r>
          </w:p>
        </w:tc>
        <w:tc>
          <w:tcPr>
            <w:tcW w:type="dxa" w:w="2880"/>
          </w:tcPr>
          <w:p>
            <w:r>
              <w:t>Reduce the remedial guarantee period to twelve months from completion of repair or replacement.</w:t>
            </w:r>
          </w:p>
        </w:tc>
      </w:tr>
      <w:tr>
        <w:tc>
          <w:tcPr>
            <w:tcW w:type="dxa" w:w="2880"/>
          </w:tcPr>
          <w:p>
            <w:r>
              <w:t>Guarantee</w:t>
            </w:r>
          </w:p>
        </w:tc>
        <w:tc>
          <w:tcPr>
            <w:tcW w:type="dxa" w:w="2880"/>
          </w:tcPr>
          <w:p>
            <w:r>
              <w:t>Repair/replacement warranty obligations defined</w:t>
            </w:r>
          </w:p>
        </w:tc>
        <w:tc>
          <w:tcPr>
            <w:tcW w:type="dxa" w:w="2880"/>
          </w:tcPr>
          <w:p>
            <w:r>
              <w:t>Require a minimum guarantee period of eighteen months from original dispatch.</w:t>
            </w:r>
          </w:p>
        </w:tc>
      </w:tr>
      <w:tr>
        <w:tc>
          <w:tcPr>
            <w:tcW w:type="dxa" w:w="2880"/>
          </w:tcPr>
          <w:p>
            <w:r>
              <w:t>Force Majeure</w:t>
            </w:r>
          </w:p>
        </w:tc>
        <w:tc>
          <w:tcPr>
            <w:tcW w:type="dxa" w:w="2880"/>
          </w:tcPr>
          <w:p>
            <w:r>
              <w:t>Force majeure events defined</w:t>
            </w:r>
          </w:p>
        </w:tc>
        <w:tc>
          <w:tcPr>
            <w:tcW w:type="dxa" w:w="2880"/>
          </w:tcPr>
          <w:p>
            <w:r>
              <w:t>Expand force majeure protection to include all approved sub-contractors and logistics providers within the supply chain.</w:t>
            </w:r>
          </w:p>
        </w:tc>
      </w:tr>
      <w:tr>
        <w:tc>
          <w:tcPr>
            <w:tcW w:type="dxa" w:w="2880"/>
          </w:tcPr>
          <w:p>
            <w:r>
              <w:t>Force Majeure</w:t>
            </w:r>
          </w:p>
        </w:tc>
        <w:tc>
          <w:tcPr>
            <w:tcW w:type="dxa" w:w="2880"/>
          </w:tcPr>
          <w:p>
            <w:r>
              <w:t>Applies to subcontractors</w:t>
            </w:r>
          </w:p>
        </w:tc>
        <w:tc>
          <w:tcPr>
            <w:tcW w:type="dxa" w:w="2880"/>
          </w:tcPr>
          <w:p>
            <w:r>
              <w:t>Require supplier to extend force majeure protection to all approved subcontractors and logistics providers.</w:t>
            </w:r>
          </w:p>
        </w:tc>
      </w:tr>
      <w:tr>
        <w:tc>
          <w:tcPr>
            <w:tcW w:type="dxa" w:w="2880"/>
          </w:tcPr>
          <w:p>
            <w:r>
              <w:t>Force Majeure</w:t>
            </w:r>
          </w:p>
        </w:tc>
        <w:tc>
          <w:tcPr>
            <w:tcW w:type="dxa" w:w="2880"/>
          </w:tcPr>
          <w:p>
            <w:r>
              <w:t>Notice obligations defined</w:t>
            </w:r>
          </w:p>
        </w:tc>
        <w:tc>
          <w:tcPr>
            <w:tcW w:type="dxa" w:w="2880"/>
          </w:tcPr>
          <w:p>
            <w:r>
              <w:t>Expand Force Majeure coverage to include all approved subcontractors and logistics providers within the supply chain.</w:t>
            </w:r>
          </w:p>
        </w:tc>
      </w:tr>
      <w:tr>
        <w:tc>
          <w:tcPr>
            <w:tcW w:type="dxa" w:w="2880"/>
          </w:tcPr>
          <w:p>
            <w:r>
              <w:t>Termination</w:t>
            </w:r>
          </w:p>
        </w:tc>
        <w:tc>
          <w:tcPr>
            <w:tcW w:type="dxa" w:w="2880"/>
          </w:tcPr>
          <w:p>
            <w:r>
              <w:t>Termination rights defined</w:t>
            </w:r>
          </w:p>
        </w:tc>
        <w:tc>
          <w:tcPr>
            <w:tcW w:type="dxa" w:w="2880"/>
          </w:tcPr>
          <w:p>
            <w:r>
              <w:t>Establish a fixed termination payment cap, irrespective of delay duration, at a maximum defined percentage (e.g., 30%).</w:t>
            </w:r>
          </w:p>
        </w:tc>
      </w:tr>
      <w:tr>
        <w:tc>
          <w:tcPr>
            <w:tcW w:type="dxa" w:w="2880"/>
          </w:tcPr>
          <w:p>
            <w:r>
              <w:t>Termination</w:t>
            </w:r>
          </w:p>
        </w:tc>
        <w:tc>
          <w:tcPr>
            <w:tcW w:type="dxa" w:w="2880"/>
          </w:tcPr>
          <w:p>
            <w:r>
              <w:t>Cancellation fee structure defined</w:t>
            </w:r>
          </w:p>
        </w:tc>
        <w:tc>
          <w:tcPr>
            <w:tcW w:type="dxa" w:w="2880"/>
          </w:tcPr>
          <w:p>
            <w:r>
              <w:t>Implement a standardized early termination process with fixed fees across all order values to mitigate schedule complexity.</w:t>
            </w:r>
          </w:p>
        </w:tc>
      </w:tr>
      <w:tr>
        <w:tc>
          <w:tcPr>
            <w:tcW w:type="dxa" w:w="2880"/>
          </w:tcPr>
          <w:p>
            <w:r>
              <w:t>Termination</w:t>
            </w:r>
          </w:p>
        </w:tc>
        <w:tc>
          <w:tcPr>
            <w:tcW w:type="dxa" w:w="2880"/>
          </w:tcPr>
          <w:p>
            <w:r>
              <w:t>61-90 day cancellation fee 40%</w:t>
            </w:r>
          </w:p>
        </w:tc>
        <w:tc>
          <w:tcPr>
            <w:tcW w:type="dxa" w:w="2880"/>
          </w:tcPr>
          <w:p>
            <w:r>
              <w:t>Implement rigorous invoice validation processes to ensure accurate calculation and timely payment of the applicable cancellation fee.</w:t>
            </w:r>
          </w:p>
        </w:tc>
      </w:tr>
      <w:tr>
        <w:tc>
          <w:tcPr>
            <w:tcW w:type="dxa" w:w="2880"/>
          </w:tcPr>
          <w:p>
            <w:r>
              <w:t>Suspension</w:t>
            </w:r>
          </w:p>
        </w:tc>
        <w:tc>
          <w:tcPr>
            <w:tcW w:type="dxa" w:w="2880"/>
          </w:tcPr>
          <w:p>
            <w:r>
              <w:t>Maximum 2 suspensions and 30 days aggregate</w:t>
            </w:r>
          </w:p>
        </w:tc>
        <w:tc>
          <w:tcPr>
            <w:tcW w:type="dxa" w:w="2880"/>
          </w:tcPr>
          <w:p>
            <w:r>
              <w:t>Implement a rigorous tracking system for all suspension requests and their durations, enforcing strict adherence to the 30-day aggregate limit.</w:t>
            </w:r>
          </w:p>
        </w:tc>
      </w:tr>
      <w:tr>
        <w:tc>
          <w:tcPr>
            <w:tcW w:type="dxa" w:w="2880"/>
          </w:tcPr>
          <w:p>
            <w:r>
              <w:t>Suspension</w:t>
            </w:r>
          </w:p>
        </w:tc>
        <w:tc>
          <w:tcPr>
            <w:tcW w:type="dxa" w:w="2880"/>
          </w:tcPr>
          <w:p>
            <w:r>
              <w:t>Supplier obligations during suspension defined</w:t>
            </w:r>
          </w:p>
        </w:tc>
        <w:tc>
          <w:tcPr>
            <w:tcW w:type="dxa" w:w="2880"/>
          </w:tcPr>
          <w:p>
            <w:r>
              <w:t>Require written prior approval for any suspension exceeding the stated limits.</w:t>
            </w:r>
          </w:p>
        </w:tc>
      </w:tr>
      <w:tr>
        <w:tc>
          <w:tcPr>
            <w:tcW w:type="dxa" w:w="2880"/>
          </w:tcPr>
          <w:p>
            <w:r>
              <w:t>Governing Law</w:t>
            </w:r>
          </w:p>
        </w:tc>
        <w:tc>
          <w:tcPr>
            <w:tcW w:type="dxa" w:w="2880"/>
          </w:tcPr>
          <w:p>
            <w:r>
              <w:t>Applicable law specified</w:t>
            </w:r>
          </w:p>
        </w:tc>
        <w:tc>
          <w:tcPr>
            <w:tcW w:type="dxa" w:w="2880"/>
          </w:tcPr>
          <w:p>
            <w:r>
              <w:t>Require governing law to be [Specified Jurisdiction - e.g., Delaware] for all contracts.</w:t>
            </w:r>
          </w:p>
        </w:tc>
      </w:tr>
      <w:tr>
        <w:tc>
          <w:tcPr>
            <w:tcW w:type="dxa" w:w="2880"/>
          </w:tcPr>
          <w:p>
            <w:r>
              <w:t>Dispute Resolution</w:t>
            </w:r>
          </w:p>
        </w:tc>
        <w:tc>
          <w:tcPr>
            <w:tcW w:type="dxa" w:w="2880"/>
          </w:tcPr>
          <w:p>
            <w:r>
              <w:t>Arbitration mechanism defined</w:t>
            </w:r>
          </w:p>
        </w:tc>
        <w:tc>
          <w:tcPr>
            <w:tcW w:type="dxa" w:w="2880"/>
          </w:tcPr>
          <w:p>
            <w:r>
              <w:t>Implement a clearly defined protocol for managing expert determinations to minimize unnecessary escalation to Singapore arbitration.</w:t>
            </w:r>
          </w:p>
        </w:tc>
      </w:tr>
      <w:tr>
        <w:tc>
          <w:tcPr>
            <w:tcW w:type="dxa" w:w="2880"/>
          </w:tcPr>
          <w:p>
            <w:r>
              <w:t>Dispute Resolution</w:t>
            </w:r>
          </w:p>
        </w:tc>
        <w:tc>
          <w:tcPr>
            <w:tcW w:type="dxa" w:w="2880"/>
          </w:tcPr>
          <w:p>
            <w:r>
              <w:t>Seat of arbitration specified</w:t>
            </w:r>
          </w:p>
        </w:tc>
        <w:tc>
          <w:tcPr>
            <w:tcW w:type="dxa" w:w="2880"/>
          </w:tcPr>
          <w:p>
            <w:r>
              <w:t>Establish clear guidelines regarding escalation criteria and associated cost allocation between parties.</w:t>
            </w:r>
          </w:p>
        </w:tc>
      </w:tr>
      <w:tr>
        <w:tc>
          <w:tcPr>
            <w:tcW w:type="dxa" w:w="2880"/>
          </w:tcPr>
          <w:p>
            <w:r>
              <w:t>Liability</w:t>
            </w:r>
          </w:p>
        </w:tc>
        <w:tc>
          <w:tcPr>
            <w:tcW w:type="dxa" w:w="2880"/>
          </w:tcPr>
          <w:p>
            <w:r>
              <w:t>Liability carve-outs defined</w:t>
            </w:r>
          </w:p>
        </w:tc>
        <w:tc>
          <w:tcPr>
            <w:tcW w:type="dxa" w:w="2880"/>
          </w:tcPr>
          <w:p>
            <w:r>
              <w:t>Define 'safety shutdown' with clear triggering criteria and extend the 10% liability cap to cover these excluded emergency costs.</w:t>
            </w:r>
          </w:p>
        </w:tc>
      </w:tr>
      <w:tr>
        <w:tc>
          <w:tcPr>
            <w:tcW w:type="dxa" w:w="2880"/>
          </w:tcPr>
          <w:p>
            <w:r>
              <w:t>Consequential Damages</w:t>
            </w:r>
          </w:p>
        </w:tc>
        <w:tc>
          <w:tcPr>
            <w:tcW w:type="dxa" w:w="2880"/>
          </w:tcPr>
          <w:p>
            <w:r>
              <w:t>Consequential damages excluded</w:t>
            </w:r>
          </w:p>
        </w:tc>
        <w:tc>
          <w:tcPr>
            <w:tcW w:type="dxa" w:w="2880"/>
          </w:tcPr>
          <w:p>
            <w:r>
              <w:t>Implement enhanced due diligence on key performance indicators and establish clear trigger points for consequential loss claims based on the defined exceptions.</w:t>
            </w:r>
          </w:p>
        </w:tc>
      </w:tr>
      <w:tr>
        <w:tc>
          <w:tcPr>
            <w:tcW w:type="dxa" w:w="2880"/>
          </w:tcPr>
          <w:p>
            <w:r>
              <w:t>Consequential Damages</w:t>
            </w:r>
          </w:p>
        </w:tc>
        <w:tc>
          <w:tcPr>
            <w:tcW w:type="dxa" w:w="2880"/>
          </w:tcPr>
          <w:p>
            <w:r>
              <w:t>Exceptions to exclusion defined</w:t>
            </w:r>
          </w:p>
        </w:tc>
        <w:tc>
          <w:tcPr>
            <w:tcW w:type="dxa" w:w="2880"/>
          </w:tcPr>
          <w:p>
            <w:r>
              <w:t>Expand exclusions to include broader definitions of negligence and ensure all exceptions are thoroughly vetted for applicability.</w:t>
            </w:r>
          </w:p>
        </w:tc>
      </w:tr>
      <w:tr>
        <w:tc>
          <w:tcPr>
            <w:tcW w:type="dxa" w:w="2880"/>
          </w:tcPr>
          <w:p>
            <w:r>
              <w:t>Payment Terms</w:t>
            </w:r>
          </w:p>
        </w:tc>
        <w:tc>
          <w:tcPr>
            <w:tcW w:type="dxa" w:w="2880"/>
          </w:tcPr>
          <w:p>
            <w:r>
              <w:t>All payments Net 30 days from invoice</w:t>
            </w:r>
          </w:p>
        </w:tc>
        <w:tc>
          <w:tcPr>
            <w:tcW w:type="dxa" w:w="2880"/>
          </w:tcPr>
          <w:p>
            <w:r>
              <w:t>Specify clear acceptance criteria for invoices and define the definitive invoice receipt date triggering the Net 30 payment obligation.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