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Enterprise Contract Analysis Report</w:t>
      </w:r>
    </w:p>
    <w:p>
      <w:pPr>
        <w:pStyle w:val="Heading2"/>
      </w:pPr>
      <w:r>
        <w:t>Table 1 - Compliance Analysis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Clause</w:t>
            </w:r>
          </w:p>
        </w:tc>
        <w:tc>
          <w:tcPr>
            <w:tcW w:type="dxa" w:w="1234"/>
          </w:tcPr>
          <w:p>
            <w:r>
              <w:t>Requirement</w:t>
            </w:r>
          </w:p>
        </w:tc>
        <w:tc>
          <w:tcPr>
            <w:tcW w:type="dxa" w:w="1234"/>
          </w:tcPr>
          <w:p>
            <w:r>
              <w:t>Summary of Key Details</w:t>
            </w:r>
          </w:p>
        </w:tc>
        <w:tc>
          <w:tcPr>
            <w:tcW w:type="dxa" w:w="1234"/>
          </w:tcPr>
          <w:p>
            <w:r>
              <w:t>Status</w:t>
            </w:r>
          </w:p>
        </w:tc>
        <w:tc>
          <w:tcPr>
            <w:tcW w:type="dxa" w:w="1234"/>
          </w:tcPr>
          <w:p>
            <w:r>
              <w:t>Evidence</w:t>
            </w:r>
          </w:p>
        </w:tc>
        <w:tc>
          <w:tcPr>
            <w:tcW w:type="dxa" w:w="1234"/>
          </w:tcPr>
          <w:p>
            <w:r>
              <w:t>Assessor Remarks</w:t>
            </w:r>
          </w:p>
        </w:tc>
        <w:tc>
          <w:tcPr>
            <w:tcW w:type="dxa" w:w="1234"/>
          </w:tcPr>
          <w:p>
            <w:r>
              <w:t>Historical Action Taken</w:t>
            </w:r>
          </w:p>
        </w:tc>
      </w:tr>
      <w:tr>
        <w:tc>
          <w:tcPr>
            <w:tcW w:type="dxa" w:w="1234"/>
          </w:tcPr>
          <w:p>
            <w:r>
              <w:t>Payment Terms</w:t>
            </w:r>
          </w:p>
        </w:tc>
        <w:tc>
          <w:tcPr>
            <w:tcW w:type="dxa" w:w="1234"/>
          </w:tcPr>
          <w:p>
            <w:r>
              <w:t>45% Minimum Advance</w:t>
            </w:r>
          </w:p>
        </w:tc>
        <w:tc>
          <w:tcPr>
            <w:tcW w:type="dxa" w:w="1234"/>
          </w:tcPr>
          <w:p>
            <w:r>
              <w:t>Provisions regarding '45% Minimum Advance': This retention clause is not intended to reduce the agreed advance percentage but can affect payment timing.</w:t>
            </w:r>
          </w:p>
        </w:tc>
        <w:tc>
          <w:tcPr>
            <w:tcW w:type="dxa" w:w="1234"/>
          </w:tcPr>
          <w:p>
            <w:r>
              <w:t>Partially Met</w:t>
            </w:r>
          </w:p>
        </w:tc>
        <w:tc>
          <w:tcPr>
            <w:tcW w:type="dxa" w:w="1234"/>
          </w:tcPr>
          <w:p>
            <w:r>
              <w:t>This retention clause is not intended to reduce the agreed advance percentage but can</w:t>
              <w:br/>
              <w:t>affect payment timing.</w:t>
            </w:r>
          </w:p>
        </w:tc>
        <w:tc>
          <w:tcPr>
            <w:tcW w:type="dxa" w:w="1234"/>
          </w:tcPr>
          <w:p>
            <w:r>
              <w:t>Advance payment split across conditions</w:t>
            </w:r>
          </w:p>
        </w:tc>
        <w:tc>
          <w:tcPr>
            <w:tcW w:type="dxa" w:w="1234"/>
          </w:tcPr>
          <w:p>
            <w:r>
              <w:t>Past actions included approving exceptional lump-sum advances to secure material pricing or escalating underfunded mobilization terms to the finance board via rolling letters of credit.</w:t>
              <w:br/>
              <w:br/>
              <w:t>Historical Reference</w:t>
              <w:br/>
              <w:t>Sources:</w:t>
              <w:br/>
              <w:t>• d1.docx – Payment Terms</w:t>
              <w:br/>
              <w:t>• d2.docx – Payment Terms</w:t>
            </w:r>
          </w:p>
        </w:tc>
      </w:tr>
      <w:tr>
        <w:tc>
          <w:tcPr>
            <w:tcW w:type="dxa" w:w="1234"/>
          </w:tcPr>
          <w:p>
            <w:r>
              <w:t>Payment Terms</w:t>
            </w:r>
          </w:p>
        </w:tc>
        <w:tc>
          <w:tcPr>
            <w:tcW w:type="dxa" w:w="1234"/>
          </w:tcPr>
          <w:p>
            <w:r>
              <w:t>All payments Net 30 days from invoice</w:t>
            </w:r>
          </w:p>
        </w:tc>
        <w:tc>
          <w:tcPr>
            <w:tcW w:type="dxa" w:w="1234"/>
          </w:tcPr>
          <w:p>
            <w:r>
              <w:t>Provisions regarding 'All payments Net 30 days from invoice': Buyer shall pay accepted invoices within thirty (30) days after receipt of a valid tax invoice. An invoice is valid only after the corresponding goods receipt note, inspection release, and packing-list reconciliation are completed in Buyer's system. If those acceptance records are completed after invoice receipt, the thirty-day clock starts from the later acceptance record, not the invoice date.</w:t>
            </w:r>
          </w:p>
        </w:tc>
        <w:tc>
          <w:tcPr>
            <w:tcW w:type="dxa" w:w="1234"/>
          </w:tcPr>
          <w:p>
            <w:r>
              <w:t>Partially Met</w:t>
            </w:r>
          </w:p>
        </w:tc>
        <w:tc>
          <w:tcPr>
            <w:tcW w:type="dxa" w:w="1234"/>
          </w:tcPr>
          <w:p>
            <w:r>
              <w:t>Buyer shall pay accepted invoices within thirty (30) days after receipt of a valid tax invoice. An invoice is valid only after the corresponding goods receipt note, inspection release, and packing-list reconciliation are completed in Buyer's system. If those acceptance records are completed after invoice receipt, the thirty-day clock starts from the later acceptance record, not the invoice date.</w:t>
            </w:r>
          </w:p>
        </w:tc>
        <w:tc>
          <w:tcPr>
            <w:tcW w:type="dxa" w:w="1234"/>
          </w:tcPr>
          <w:p>
            <w:r>
              <w:t>The requirement is for Net 30 days from invoice. The contract introduces conditions for 'validity' (goods receipt, inspection, and reconciliation) which can delay the start of the 30-day payment clock beyond the actual invoice date.</w:t>
            </w:r>
          </w:p>
        </w:tc>
        <w:tc>
          <w:tcPr>
            <w:tcW w:type="dxa" w:w="1234"/>
          </w:tcPr>
          <w:p>
            <w:r>
              <w:t>The organization has previously accepted extended payment terms through executive waivers, often securing price discounts in exchange for the deviation. Additionally, management has accepted the associated financial risks after verifying sufficient cash reserves.</w:t>
              <w:br/>
              <w:br/>
              <w:t>Historical Reference</w:t>
              <w:br/>
              <w:t>Source:</w:t>
              <w:br/>
              <w:t>d1.docx</w:t>
              <w:br/>
              <w:t>Clause: Payment Terms</w:t>
              <w:br/>
              <w:t>Requirement: All payments Net 30 days from invoice</w:t>
              <w:br/>
              <w:br/>
              <w:t>Quote:</w:t>
              <w:br/>
              <w:t>"Vendor wording accepted via executive waiver; extended terms granted in exchange for a 2% price discount."</w:t>
            </w:r>
          </w:p>
        </w:tc>
      </w:tr>
      <w:tr>
        <w:tc>
          <w:tcPr>
            <w:tcW w:type="dxa" w:w="1234"/>
          </w:tcPr>
          <w:p>
            <w:r>
              <w:t>Payment Terms</w:t>
            </w:r>
          </w:p>
        </w:tc>
        <w:tc>
          <w:tcPr>
            <w:tcW w:type="dxa" w:w="1234"/>
          </w:tcPr>
          <w:p>
            <w:r>
              <w:t>Partial delivery and invoicing allowed</w:t>
            </w:r>
          </w:p>
        </w:tc>
        <w:tc>
          <w:tcPr>
            <w:tcW w:type="dxa" w:w="1234"/>
          </w:tcPr>
          <w:p>
            <w:r>
              <w:t>Provisions regarding 'Partial delivery and invoicing allowed': Supplier may dispatch Lot A, Lot B, and Lot C separately and may raise a corresponding invoice for each completed lot.</w:t>
            </w:r>
          </w:p>
        </w:tc>
        <w:tc>
          <w:tcPr>
            <w:tcW w:type="dxa" w:w="1234"/>
          </w:tcPr>
          <w:p>
            <w:r>
              <w:t>Met</w:t>
            </w:r>
          </w:p>
        </w:tc>
        <w:tc>
          <w:tcPr>
            <w:tcW w:type="dxa" w:w="1234"/>
          </w:tcPr>
          <w:p>
            <w:r>
              <w:t>Supplier may dispatch Lot A, Lot B, and Lot C separately and may raise a corresponding invoice for each completed lot.</w:t>
            </w:r>
          </w:p>
        </w:tc>
        <w:tc>
          <w:tcPr>
            <w:tcW w:type="dxa" w:w="1234"/>
          </w:tcPr>
          <w:p>
            <w:r>
              <w:t>The contract explicitly permits separate dispatch (partial delivery) and corresponding invoicing for each lot.</w:t>
            </w:r>
          </w:p>
        </w:tc>
        <w:tc>
          <w:tcPr>
            <w:tcW w:type="dxa" w:w="1234"/>
          </w:tcPr>
          <w:p>
            <w:r>
              <w:t>Past actions include updating clauses based on review board feedback and granting executive waivers to accept restrictive delivery terms in exchange for sole-source exclusivity. These measures were used to address conflicts between partial delivery requirements and strict full-system delivery mandates.</w:t>
              <w:br/>
              <w:br/>
              <w:t>Historical Reference</w:t>
              <w:br/>
              <w:t>Sources:</w:t>
              <w:br/>
              <w:t>• d1.docx – Payment Terms</w:t>
              <w:br/>
              <w:t>• d2.docx – Payment Terms</w:t>
            </w:r>
          </w:p>
        </w:tc>
      </w:tr>
      <w:tr>
        <w:tc>
          <w:tcPr>
            <w:tcW w:type="dxa" w:w="1234"/>
          </w:tcPr>
          <w:p>
            <w:r>
              <w:t>Bank Guarantees</w:t>
            </w:r>
          </w:p>
        </w:tc>
        <w:tc>
          <w:tcPr>
            <w:tcW w:type="dxa" w:w="1234"/>
          </w:tcPr>
          <w:p>
            <w:r>
              <w:t>Performance Guarantee not exceeding 10%</w:t>
            </w:r>
          </w:p>
        </w:tc>
        <w:tc>
          <w:tcPr>
            <w:tcW w:type="dxa" w:w="1234"/>
          </w:tcPr>
          <w:p>
            <w:r>
              <w:t>Provisions regarding 'Performance Guarantee not exceeding 10%': In addition to the guarantee in Article 00511. 1, Supplier shall furnish a temporary bridge performance guarantee equal to two percent (2%) of the Purchase Order value from the date of the first advance tranche until the earlier of successful FAT release or first dispatch.</w:t>
            </w:r>
          </w:p>
        </w:tc>
        <w:tc>
          <w:tcPr>
            <w:tcW w:type="dxa" w:w="1234"/>
          </w:tcPr>
          <w:p>
            <w:r>
              <w:t>Not Met</w:t>
            </w:r>
          </w:p>
        </w:tc>
        <w:tc>
          <w:tcPr>
            <w:tcW w:type="dxa" w:w="1234"/>
          </w:tcPr>
          <w:p>
            <w:r>
              <w:t>In addition to the guarantee in Article 00511.3.1, Supplier shall furnish a temporary bridge performance</w:t>
              <w:br/>
              <w:t>guarantee equal to two percent (2%) of the Purchase Order value from the date of the first advance tranche until the earlier of successful</w:t>
              <w:br/>
              <w:t>FAT release or first dispatch.</w:t>
            </w:r>
          </w:p>
        </w:tc>
        <w:tc>
          <w:tcPr>
            <w:tcW w:type="dxa" w:w="1234"/>
          </w:tcPr>
          <w:p>
            <w:r>
              <w:t>Total security obligations found: 12.0%</w:t>
            </w:r>
          </w:p>
        </w:tc>
        <w:tc>
          <w:tcPr>
            <w:tcW w:type="dxa" w:w="1234"/>
          </w:tcPr>
          <w:p>
            <w:r>
              <w:t>Performance security was historically reduced through legal overrides after the review of vendor asset records or cleared via special procurement registers.</w:t>
              <w:br/>
              <w:br/>
              <w:t>Historical Reference</w:t>
              <w:br/>
              <w:t>Source:</w:t>
              <w:br/>
              <w:t>d1.docx</w:t>
              <w:br/>
              <w:t>Clause: Bank Guarantees</w:t>
              <w:br/>
              <w:t>Requirement: Performance Guarantee not exceeding 10%</w:t>
              <w:br/>
              <w:br/>
              <w:t>Quote:</w:t>
              <w:br/>
              <w:t>"Reduced performance security via legal override after vendor submitted audited global asset records."</w:t>
            </w:r>
          </w:p>
        </w:tc>
      </w:tr>
      <w:tr>
        <w:tc>
          <w:tcPr>
            <w:tcW w:type="dxa" w:w="1234"/>
          </w:tcPr>
          <w:p>
            <w:r>
              <w:t>Bank Guarantees</w:t>
            </w:r>
          </w:p>
        </w:tc>
        <w:tc>
          <w:tcPr>
            <w:tcW w:type="dxa" w:w="1234"/>
          </w:tcPr>
          <w:p>
            <w:r>
              <w:t>Bank Guarantee validity period defined</w:t>
            </w:r>
          </w:p>
        </w:tc>
        <w:tc>
          <w:tcPr>
            <w:tcW w:type="dxa" w:w="1234"/>
          </w:tcPr>
          <w:p>
            <w:r>
              <w:t>Provisions regarding 'Bank Guarantee validity period defined': Supplier shall furnish an unconditional performance bank guarantee equal to ten percent (10%) of the Purchase Order value, valid until expiry of the standard guarantee period plus ninety (90) days.</w:t>
            </w:r>
          </w:p>
        </w:tc>
        <w:tc>
          <w:tcPr>
            <w:tcW w:type="dxa" w:w="1234"/>
          </w:tcPr>
          <w:p>
            <w:r>
              <w:t>Met</w:t>
            </w:r>
          </w:p>
        </w:tc>
        <w:tc>
          <w:tcPr>
            <w:tcW w:type="dxa" w:w="1234"/>
          </w:tcPr>
          <w:p>
            <w:r>
              <w:t>Supplier shall furnish an unconditional performance bank guarantee equal to ten percent (10%)</w:t>
              <w:br/>
              <w:t>of the Purchase Order value, valid until expiry of the standard guarantee period plus ninety (90) days.</w:t>
            </w:r>
          </w:p>
        </w:tc>
        <w:tc>
          <w:tcPr>
            <w:tcW w:type="dxa" w:w="1234"/>
          </w:tcPr>
          <w:p>
            <w:r>
              <w:t>Supplier shall furnish an unconditional performance bank guarantee equal to ten percent (10%)</w:t>
              <w:br/>
              <w:t>of the Purchase Order value, valid until expiry of the standard guarantee period plus ninety (90) days.</w:t>
            </w:r>
          </w:p>
        </w:tc>
        <w:tc>
          <w:tcPr>
            <w:tcW w:type="dxa" w:w="1234"/>
          </w:tcPr>
          <w:p>
            <w:r>
              <w:t>Issues regarding undefined expiry dates and coverage gaps during warranty periods were identified by internal audits and addressed through formal remediation demands or deferred amendments.</w:t>
              <w:br/>
              <w:br/>
              <w:t>Historical Reference</w:t>
              <w:br/>
              <w:t>Sources:</w:t>
              <w:br/>
              <w:t>• d1.docx – Bank Guarantees</w:t>
              <w:br/>
              <w:t>• d2.docx – Bank Guarantees</w:t>
            </w:r>
          </w:p>
        </w:tc>
      </w:tr>
      <w:tr>
        <w:tc>
          <w:tcPr>
            <w:tcW w:type="dxa" w:w="1234"/>
          </w:tcPr>
          <w:p>
            <w:r>
              <w:t>Liquidated Damages</w:t>
            </w:r>
          </w:p>
        </w:tc>
        <w:tc>
          <w:tcPr>
            <w:tcW w:type="dxa" w:w="1234"/>
          </w:tcPr>
          <w:p>
            <w:r>
              <w:t>Documentation LD not applicable</w:t>
            </w:r>
          </w:p>
        </w:tc>
        <w:tc>
          <w:tcPr>
            <w:tcW w:type="dxa" w:w="1234"/>
          </w:tcPr>
          <w:p>
            <w:r>
              <w:t>Provisions regarding 'Documentation LD not applicable': For delay in delivery of equipment beyond the contractual delivery date, Supplier shall pay liquidated damages at zero point five percent (0. 5%) of the value of the undelivered part per completed week of delay.</w:t>
            </w:r>
          </w:p>
        </w:tc>
        <w:tc>
          <w:tcPr>
            <w:tcW w:type="dxa" w:w="1234"/>
          </w:tcPr>
          <w:p>
            <w:r>
              <w:t>Partially Met</w:t>
            </w:r>
          </w:p>
        </w:tc>
        <w:tc>
          <w:tcPr>
            <w:tcW w:type="dxa" w:w="1234"/>
          </w:tcPr>
          <w:p>
            <w:r>
              <w:t>For delay in delivery of equipment beyond the contractual delivery date, Supplier shall pay liquidated</w:t>
              <w:br/>
              <w:t>damages at zero point five percent (0.5%) of the value of the undelivered part per completed week of delay.</w:t>
            </w:r>
          </w:p>
        </w:tc>
        <w:tc>
          <w:tcPr>
            <w:tcW w:type="dxa" w:w="1234"/>
          </w:tcPr>
          <w:p>
            <w:r>
              <w:t>Clause contains material limitations, exceptions, carve-outs, conditions, or restricted applicability</w:t>
            </w:r>
          </w:p>
        </w:tc>
        <w:tc>
          <w:tcPr>
            <w:tcW w:type="dxa" w:w="1234"/>
          </w:tcPr>
          <w:p>
            <w:r>
              <w:t>Negotiations focused on removing financial penalties for administrative documentation delays to align with corporate risk standards.</w:t>
              <w:br/>
              <w:br/>
              <w:t>Historical Reference</w:t>
              <w:br/>
              <w:t>Source:</w:t>
              <w:br/>
              <w:t>d2.docx</w:t>
              <w:br/>
              <w:t>Clause: Liquidated Damages</w:t>
              <w:br/>
              <w:t>Requirement: Documentation LD not applicable</w:t>
              <w:br/>
              <w:br/>
              <w:t>Quote:</w:t>
              <w:br/>
              <w:t>"Negotiated lower LD cap and explicitly removed all documentation-related financial penalty strings from the text."</w:t>
            </w:r>
          </w:p>
        </w:tc>
      </w:tr>
      <w:tr>
        <w:tc>
          <w:tcPr>
            <w:tcW w:type="dxa" w:w="1234"/>
          </w:tcPr>
          <w:p>
            <w:r>
              <w:t>Liquidated Damages</w:t>
            </w:r>
          </w:p>
        </w:tc>
        <w:tc>
          <w:tcPr>
            <w:tcW w:type="dxa" w:w="1234"/>
          </w:tcPr>
          <w:p>
            <w:r>
              <w:t>Equipment Delivery LD 0.5% per week</w:t>
            </w:r>
          </w:p>
        </w:tc>
        <w:tc>
          <w:tcPr>
            <w:tcW w:type="dxa" w:w="1234"/>
          </w:tcPr>
          <w:p>
            <w:r>
              <w:t>Provisions regarding 'Equipment Delivery LD 0.5% per week': For delay in delivery of equipment beyond the contractual delivery date, Supplier shall pay liquidated damages at zero point five percent (0. 5%) of the value of the undelivered part per completed week of delay.</w:t>
            </w:r>
          </w:p>
        </w:tc>
        <w:tc>
          <w:tcPr>
            <w:tcW w:type="dxa" w:w="1234"/>
          </w:tcPr>
          <w:p>
            <w:r>
              <w:t>Partially Met</w:t>
            </w:r>
          </w:p>
        </w:tc>
        <w:tc>
          <w:tcPr>
            <w:tcW w:type="dxa" w:w="1234"/>
          </w:tcPr>
          <w:p>
            <w:r>
              <w:t>For delay in delivery of equipment beyond the contractual delivery date, Supplier shall pay liquidated</w:t>
              <w:br/>
              <w:t>damages at zero point five percent (0.5%) of the value of the undelivered part per completed week of delay.</w:t>
            </w:r>
          </w:p>
        </w:tc>
        <w:tc>
          <w:tcPr>
            <w:tcW w:type="dxa" w:w="1234"/>
          </w:tcPr>
          <w:p>
            <w:r>
              <w:t>Clause contains material limitations, exceptions, carve-outs, conditions, or restricted applicability</w:t>
            </w:r>
          </w:p>
        </w:tc>
        <w:tc>
          <w:tcPr>
            <w:tcW w:type="dxa" w:w="1234"/>
          </w:tcPr>
          <w:p>
            <w:r>
              <w:t>While standard 0.5% rates were typically validated by legal, attempts to negotiate down aggressive 1.0% rates sometimes resulted in deadlocks.</w:t>
              <w:br/>
              <w:br/>
              <w:t>Historical Reference</w:t>
              <w:br/>
              <w:t>Sources:</w:t>
              <w:br/>
              <w:t>• d1.docx – Liquidated Damages</w:t>
              <w:br/>
              <w:t>• d2.docx – Liquidated Damages</w:t>
            </w:r>
          </w:p>
        </w:tc>
      </w:tr>
      <w:tr>
        <w:tc>
          <w:tcPr>
            <w:tcW w:type="dxa" w:w="1234"/>
          </w:tcPr>
          <w:p>
            <w:r>
              <w:t>Liquidated Damages</w:t>
            </w:r>
          </w:p>
        </w:tc>
        <w:tc>
          <w:tcPr>
            <w:tcW w:type="dxa" w:w="1234"/>
          </w:tcPr>
          <w:p>
            <w:r>
              <w:t>Equipment Delivery LD capped at 5%</w:t>
            </w:r>
          </w:p>
        </w:tc>
        <w:tc>
          <w:tcPr>
            <w:tcW w:type="dxa" w:w="1234"/>
          </w:tcPr>
          <w:p>
            <w:r>
              <w:t>Provisions regarding 'Equipment Delivery LD capped at 5%': For delay in delivery of equipment beyond the contractual delivery date, Supplier shall pay liquidated damages at zero point five percent (0. 5%) of the value of the undelivered part per completed week of delay.</w:t>
            </w:r>
          </w:p>
        </w:tc>
        <w:tc>
          <w:tcPr>
            <w:tcW w:type="dxa" w:w="1234"/>
          </w:tcPr>
          <w:p>
            <w:r>
              <w:t>Partially Met</w:t>
            </w:r>
          </w:p>
        </w:tc>
        <w:tc>
          <w:tcPr>
            <w:tcW w:type="dxa" w:w="1234"/>
          </w:tcPr>
          <w:p>
            <w:r>
              <w:t>For delay in delivery of equipment beyond the contractual delivery date, Supplier shall pay liquidated</w:t>
              <w:br/>
              <w:t>damages at zero point five percent (0.5%) of the value of the undelivered part per completed week of delay.</w:t>
            </w:r>
          </w:p>
        </w:tc>
        <w:tc>
          <w:tcPr>
            <w:tcW w:type="dxa" w:w="1234"/>
          </w:tcPr>
          <w:p>
            <w:r>
              <w:t>Clause contains material limitations, exceptions, carve-outs, conditions, or restricted applicability</w:t>
            </w:r>
          </w:p>
        </w:tc>
        <w:tc>
          <w:tcPr>
            <w:tcW w:type="dxa" w:w="1234"/>
          </w:tcPr>
          <w:p>
            <w:r>
              <w:t>Efforts were made to establish clear component-level boundaries, moving from uncapped positions to a strict 5% cap on affected sub-assemblies.</w:t>
              <w:br/>
              <w:br/>
              <w:t>Historical Reference</w:t>
              <w:br/>
              <w:t>Sources:</w:t>
              <w:br/>
              <w:t>• d1.docx – Liquidated Damages</w:t>
              <w:br/>
              <w:t>• d2.docx – Liquidated Damages</w:t>
            </w:r>
          </w:p>
        </w:tc>
      </w:tr>
      <w:tr>
        <w:tc>
          <w:tcPr>
            <w:tcW w:type="dxa" w:w="1234"/>
          </w:tcPr>
          <w:p>
            <w:r>
              <w:t>Liquidated Damages</w:t>
            </w:r>
          </w:p>
        </w:tc>
        <w:tc>
          <w:tcPr>
            <w:tcW w:type="dxa" w:w="1234"/>
          </w:tcPr>
          <w:p>
            <w:r>
              <w:t>Aggregate LD capped at 5% PO value</w:t>
            </w:r>
          </w:p>
        </w:tc>
        <w:tc>
          <w:tcPr>
            <w:tcW w:type="dxa" w:w="1234"/>
          </w:tcPr>
          <w:p>
            <w:r>
              <w:t>Provisions regarding 'Aggregate LD capped at 5% PO value': For delay in delivery of equipment beyond the contractual delivery date, Supplier shall pay liquidated damages at zero point five percent (0. 5%) of the value of the undelivered part per completed week of delay.</w:t>
            </w:r>
          </w:p>
        </w:tc>
        <w:tc>
          <w:tcPr>
            <w:tcW w:type="dxa" w:w="1234"/>
          </w:tcPr>
          <w:p>
            <w:r>
              <w:t>Not Met</w:t>
            </w:r>
          </w:p>
        </w:tc>
        <w:tc>
          <w:tcPr>
            <w:tcW w:type="dxa" w:w="1234"/>
          </w:tcPr>
          <w:p>
            <w:r>
              <w:t>For delay in delivery of equipment beyond the contractual delivery date, Supplier shall pay liquidated</w:t>
              <w:br/>
              <w:t>damages at zero point five percent (0.5%) of the value of the undelivered part per completed week of delay.</w:t>
            </w:r>
          </w:p>
        </w:tc>
        <w:tc>
          <w:tcPr>
            <w:tcW w:type="dxa" w:w="1234"/>
          </w:tcPr>
          <w:p>
            <w:r>
              <w:t>Found 7.5% cap</w:t>
            </w:r>
          </w:p>
        </w:tc>
        <w:tc>
          <w:tcPr>
            <w:tcW w:type="dxa" w:w="1234"/>
          </w:tcPr>
          <w:p>
            <w:r>
              <w:t>Corporate counsel and commercial settlements were used to replace higher penalty thresholds with an absolute 5% aggregate ceiling.</w:t>
              <w:br/>
              <w:br/>
              <w:t>Historical Reference</w:t>
              <w:br/>
              <w:t>Source:</w:t>
              <w:br/>
              <w:t>d1.docx</w:t>
              <w:br/>
              <w:t>Clause: Liquidated Damages</w:t>
              <w:br/>
              <w:t>Requirement: Aggregate LD capped at 5% PO value</w:t>
              <w:br/>
              <w:br/>
              <w:t>Quote:</w:t>
              <w:br/>
              <w:t>"Negotiated lower LD cap and established absolute 5% ceiling during global commercial settlement."</w:t>
            </w:r>
          </w:p>
        </w:tc>
      </w:tr>
      <w:tr>
        <w:tc>
          <w:tcPr>
            <w:tcW w:type="dxa" w:w="1234"/>
          </w:tcPr>
          <w:p>
            <w:r>
              <w:t>Liquidated Damages</w:t>
            </w:r>
          </w:p>
        </w:tc>
        <w:tc>
          <w:tcPr>
            <w:tcW w:type="dxa" w:w="1234"/>
          </w:tcPr>
          <w:p>
            <w:r>
              <w:t>Remedial Work LD not applicable</w:t>
            </w:r>
          </w:p>
        </w:tc>
        <w:tc>
          <w:tcPr>
            <w:tcW w:type="dxa" w:w="1234"/>
          </w:tcPr>
          <w:p>
            <w:r>
              <w:t>Provisions regarding 'Remedial Work LD not applicable': For delay in delivery of equipment beyond the contractual delivery date, Supplier shall pay liquidated damages at zero point five percent (0. 5%) of the value of the undelivered part per completed week of delay.</w:t>
            </w:r>
          </w:p>
        </w:tc>
        <w:tc>
          <w:tcPr>
            <w:tcW w:type="dxa" w:w="1234"/>
          </w:tcPr>
          <w:p>
            <w:r>
              <w:t>Partially Met</w:t>
            </w:r>
          </w:p>
        </w:tc>
        <w:tc>
          <w:tcPr>
            <w:tcW w:type="dxa" w:w="1234"/>
          </w:tcPr>
          <w:p>
            <w:r>
              <w:t>For delay in delivery of equipment beyond the contractual delivery date, Supplier shall pay liquidated</w:t>
              <w:br/>
              <w:t>damages at zero point five percent (0.5%) of the value of the undelivered part per completed week of delay.</w:t>
            </w:r>
          </w:p>
        </w:tc>
        <w:tc>
          <w:tcPr>
            <w:tcW w:type="dxa" w:w="1234"/>
          </w:tcPr>
          <w:p>
            <w:r>
              <w:t>Clause contains material limitations, exceptions, carve-outs, conditions, or restricted applicability</w:t>
            </w:r>
          </w:p>
        </w:tc>
        <w:tc>
          <w:tcPr>
            <w:tcW w:type="dxa" w:w="1234"/>
          </w:tcPr>
          <w:p>
            <w:r>
              <w:t>Procurement teams worked to remove conditional dependencies to ensure penalties do not accrue during active engineering remediation.</w:t>
              <w:br/>
              <w:br/>
              <w:t>Historical Reference</w:t>
              <w:br/>
              <w:t>Source:</w:t>
              <w:br/>
              <w:t>d1.docx</w:t>
              <w:br/>
              <w:t>Clause: Liquidated Damages</w:t>
              <w:br/>
              <w:t>Requirement: Remedial Work LD not applicable</w:t>
              <w:br/>
              <w:br/>
              <w:t>Quote:</w:t>
              <w:br/>
              <w:t>"Corrective action implemented by procurement team to remove conditional dependencies found in draft versions."</w:t>
            </w:r>
          </w:p>
        </w:tc>
      </w:tr>
      <w:tr>
        <w:tc>
          <w:tcPr>
            <w:tcW w:type="dxa" w:w="1234"/>
          </w:tcPr>
          <w:p>
            <w:r>
              <w:t>Guarantee</w:t>
            </w:r>
          </w:p>
        </w:tc>
        <w:tc>
          <w:tcPr>
            <w:tcW w:type="dxa" w:w="1234"/>
          </w:tcPr>
          <w:p>
            <w:r>
              <w:t>Warranty period defined</w:t>
            </w:r>
          </w:p>
        </w:tc>
        <w:tc>
          <w:tcPr>
            <w:tcW w:type="dxa" w:w="1234"/>
          </w:tcPr>
          <w:p>
            <w:r>
              <w:t>Provisions regarding 'Warranty period defined': Any repaired or replaced component shall be guaranteed for twelve (12) months from completion of repair or replacement, or until eighteen (18) months from original dispatch of the affected equipment, whichever occurs earlier.</w:t>
            </w:r>
          </w:p>
        </w:tc>
        <w:tc>
          <w:tcPr>
            <w:tcW w:type="dxa" w:w="1234"/>
          </w:tcPr>
          <w:p>
            <w:r>
              <w:t>Partially Met</w:t>
            </w:r>
          </w:p>
        </w:tc>
        <w:tc>
          <w:tcPr>
            <w:tcW w:type="dxa" w:w="1234"/>
          </w:tcPr>
          <w:p>
            <w:r>
              <w:t>Any repaired or replaced component shall be guaranteed for twelve (12) months from completion of</w:t>
              <w:br/>
              <w:t>repair or replacement, or until eighteen (18) months from original dispatch of the affected equipment, whichever occurs earlier.</w:t>
            </w:r>
          </w:p>
        </w:tc>
        <w:tc>
          <w:tcPr>
            <w:tcW w:type="dxa" w:w="1234"/>
          </w:tcPr>
          <w:p>
            <w:r>
              <w:t>Clause contains material limitations, exceptions, carve-outs, conditions, or restricted applicability</w:t>
            </w:r>
          </w:p>
        </w:tc>
        <w:tc>
          <w:tcPr>
            <w:tcW w:type="dxa" w:w="1234"/>
          </w:tcPr>
          <w:p>
            <w:r>
              <w:t>The commercial team successfully negotiated extended warranty periods by making reciprocal concessions on maritime shipping and intellectual property clauses.</w:t>
              <w:br/>
              <w:br/>
              <w:t>Historical Reference</w:t>
              <w:br/>
              <w:t>Sources:</w:t>
              <w:br/>
              <w:t>• d1.docx – Guarantee</w:t>
              <w:br/>
              <w:t>• d2.docx – Guarantee</w:t>
            </w:r>
          </w:p>
        </w:tc>
      </w:tr>
      <w:tr>
        <w:tc>
          <w:tcPr>
            <w:tcW w:type="dxa" w:w="1234"/>
          </w:tcPr>
          <w:p>
            <w:r>
              <w:t>Guarantee</w:t>
            </w:r>
          </w:p>
        </w:tc>
        <w:tc>
          <w:tcPr>
            <w:tcW w:type="dxa" w:w="1234"/>
          </w:tcPr>
          <w:p>
            <w:r>
              <w:t>2 months from commissioning or 18 months from dispatch</w:t>
            </w:r>
          </w:p>
        </w:tc>
        <w:tc>
          <w:tcPr>
            <w:tcW w:type="dxa" w:w="1234"/>
          </w:tcPr>
          <w:p>
            <w:r>
              <w:t>Provisions regarding '2 months from commissioning or 18 months from dispatch': Any repaired or replaced component shall be guaranteed for twelve (12) months from completion of repair or replacement, or until eighteen (18) months from original dispatch of the affected equipment, whichever occurs earlier.</w:t>
            </w:r>
          </w:p>
        </w:tc>
        <w:tc>
          <w:tcPr>
            <w:tcW w:type="dxa" w:w="1234"/>
          </w:tcPr>
          <w:p>
            <w:r>
              <w:t>Partially Met</w:t>
            </w:r>
          </w:p>
        </w:tc>
        <w:tc>
          <w:tcPr>
            <w:tcW w:type="dxa" w:w="1234"/>
          </w:tcPr>
          <w:p>
            <w:r>
              <w:t>Any repaired or replaced component shall be guaranteed for twelve (12) months from completion of</w:t>
              <w:br/>
              <w:t>repair or replacement, or until eighteen (18) months from original dispatch of the affected equipment, whichever occurs earlier.</w:t>
            </w:r>
          </w:p>
        </w:tc>
        <w:tc>
          <w:tcPr>
            <w:tcW w:type="dxa" w:w="1234"/>
          </w:tcPr>
          <w:p>
            <w:r>
              <w:t>Clause contains material limitations, exceptions, carve-outs, conditions, or restricted applicability</w:t>
            </w:r>
          </w:p>
        </w:tc>
        <w:tc>
          <w:tcPr>
            <w:tcW w:type="dxa" w:w="1234"/>
          </w:tcPr>
          <w:p>
            <w:r>
              <w:t>Efforts to align warranty triggers involved escalating risks to the Project Director and renegotiating durations to address restrictive environmental exceptions.</w:t>
              <w:br/>
              <w:br/>
              <w:t>Historical Reference</w:t>
              <w:br/>
              <w:t>Sources:</w:t>
              <w:br/>
              <w:t>• d1.docx – Guarantee</w:t>
              <w:br/>
              <w:t>• d2.docx – Guarantee</w:t>
            </w:r>
          </w:p>
        </w:tc>
      </w:tr>
      <w:tr>
        <w:tc>
          <w:tcPr>
            <w:tcW w:type="dxa" w:w="1234"/>
          </w:tcPr>
          <w:p>
            <w:r>
              <w:t>Guarantee</w:t>
            </w:r>
          </w:p>
        </w:tc>
        <w:tc>
          <w:tcPr>
            <w:tcW w:type="dxa" w:w="1234"/>
          </w:tcPr>
          <w:p>
            <w:r>
              <w:t>Repair/replacement warranty obligations defined</w:t>
            </w:r>
          </w:p>
        </w:tc>
        <w:tc>
          <w:tcPr>
            <w:tcW w:type="dxa" w:w="1234"/>
          </w:tcPr>
          <w:p>
            <w:r>
              <w:t>Provisions regarding 'Repair/replacement warranty obligations defined': Any repaired or replaced component shall be guaranteed for twelve (12) months from completion of repair or replacement, or until eighteen (18) months from original dispatch of the affected equipment, whichever occurs earlier.</w:t>
            </w:r>
          </w:p>
        </w:tc>
        <w:tc>
          <w:tcPr>
            <w:tcW w:type="dxa" w:w="1234"/>
          </w:tcPr>
          <w:p>
            <w:r>
              <w:t>Partially Met</w:t>
            </w:r>
          </w:p>
        </w:tc>
        <w:tc>
          <w:tcPr>
            <w:tcW w:type="dxa" w:w="1234"/>
          </w:tcPr>
          <w:p>
            <w:r>
              <w:t>Any repaired or replaced component shall be guaranteed for twelve (12) months from completion of</w:t>
              <w:br/>
              <w:t>repair or replacement, or until eighteen (18) months from original dispatch of the affected equipment, whichever occurs earlier.</w:t>
            </w:r>
          </w:p>
        </w:tc>
        <w:tc>
          <w:tcPr>
            <w:tcW w:type="dxa" w:w="1234"/>
          </w:tcPr>
          <w:p>
            <w:r>
              <w:t>Clause contains material limitations, exceptions, carve-outs, conditions, or restricted applicability</w:t>
            </w:r>
          </w:p>
        </w:tc>
        <w:tc>
          <w:tcPr>
            <w:tcW w:type="dxa" w:w="1234"/>
          </w:tcPr>
          <w:p>
            <w:r>
              <w:t>Obligations were finalized by revising coverage limits during engineering meetings and adopting specific wording proposed by the vendor.</w:t>
              <w:br/>
              <w:br/>
              <w:t>Historical Reference</w:t>
              <w:br/>
              <w:t>Source:</w:t>
              <w:br/>
              <w:t>d1.docx</w:t>
              <w:br/>
              <w:t>Clause: Guarantee</w:t>
              <w:br/>
              <w:t>Requirement: Repair/replacement warranty obligations defined</w:t>
              <w:br/>
              <w:br/>
              <w:t>Quote:</w:t>
              <w:br/>
              <w:t>"Revised warranty coverage limits during final engineering alignment meetings; closed by legal."</w:t>
            </w:r>
          </w:p>
        </w:tc>
      </w:tr>
      <w:tr>
        <w:tc>
          <w:tcPr>
            <w:tcW w:type="dxa" w:w="1234"/>
          </w:tcPr>
          <w:p>
            <w:r>
              <w:t>Force Majeure</w:t>
            </w:r>
          </w:p>
        </w:tc>
        <w:tc>
          <w:tcPr>
            <w:tcW w:type="dxa" w:w="1234"/>
          </w:tcPr>
          <w:p>
            <w:r>
              <w:t>Force majeure events defined</w:t>
            </w:r>
          </w:p>
        </w:tc>
        <w:tc>
          <w:tcPr>
            <w:tcW w:type="dxa" w:w="1234"/>
          </w:tcPr>
          <w:p>
            <w:r>
              <w:t>Provisions regarding 'Force majeure events defined': Supplier may claim Force Majeure relief for events affecting only the Tier-1 critical sub-suppliers named in Annex D or the approved international logistics carrier.</w:t>
            </w:r>
          </w:p>
        </w:tc>
        <w:tc>
          <w:tcPr>
            <w:tcW w:type="dxa" w:w="1234"/>
          </w:tcPr>
          <w:p>
            <w:r>
              <w:t>Partially Met</w:t>
            </w:r>
          </w:p>
        </w:tc>
        <w:tc>
          <w:tcPr>
            <w:tcW w:type="dxa" w:w="1234"/>
          </w:tcPr>
          <w:p>
            <w:r>
              <w:t>Supplier may claim Force Majeure relief for events affecting only the Tier-1 critical sub-suppliers named</w:t>
              <w:br/>
              <w:t>in Annex D or the approved international logistics carrier.</w:t>
            </w:r>
          </w:p>
        </w:tc>
        <w:tc>
          <w:tcPr>
            <w:tcW w:type="dxa" w:w="1234"/>
          </w:tcPr>
          <w:p>
            <w:r>
              <w:t>Clause contains material limitations, exceptions, carve-outs, conditions, or restricted applicability</w:t>
            </w:r>
          </w:p>
        </w:tc>
        <w:tc>
          <w:tcPr>
            <w:tcW w:type="dxa" w:w="1234"/>
          </w:tcPr>
          <w:p>
            <w:r>
              <w:t>Force majeure definitions were standardized across drafts and expanded to include specific risks like regional power grid failures.</w:t>
              <w:br/>
              <w:br/>
              <w:t>Historical Reference</w:t>
              <w:br/>
              <w:t>Sources:</w:t>
              <w:br/>
              <w:t>• d1.docx – Force Majeure</w:t>
              <w:br/>
              <w:t>• d2.docx – Force Majeure</w:t>
            </w:r>
          </w:p>
        </w:tc>
      </w:tr>
      <w:tr>
        <w:tc>
          <w:tcPr>
            <w:tcW w:type="dxa" w:w="1234"/>
          </w:tcPr>
          <w:p>
            <w:r>
              <w:t>Force Majeure</w:t>
            </w:r>
          </w:p>
        </w:tc>
        <w:tc>
          <w:tcPr>
            <w:tcW w:type="dxa" w:w="1234"/>
          </w:tcPr>
          <w:p>
            <w:r>
              <w:t>Applies to subcontractors</w:t>
            </w:r>
          </w:p>
        </w:tc>
        <w:tc>
          <w:tcPr>
            <w:tcW w:type="dxa" w:w="1234"/>
          </w:tcPr>
          <w:p>
            <w:r>
              <w:t>Provisions regarding 'Applies to subcontractors': Force majeure applies only to named Tier-1 / approved suppliers.</w:t>
            </w:r>
          </w:p>
        </w:tc>
        <w:tc>
          <w:tcPr>
            <w:tcW w:type="dxa" w:w="1234"/>
          </w:tcPr>
          <w:p>
            <w:r>
              <w:t>Partially Met</w:t>
            </w:r>
          </w:p>
        </w:tc>
        <w:tc>
          <w:tcPr>
            <w:tcW w:type="dxa" w:w="1234"/>
          </w:tcPr>
          <w:p>
            <w:r>
              <w:t>Force majeure applies only to named Tier-1 / approved suppliers</w:t>
            </w:r>
          </w:p>
        </w:tc>
        <w:tc>
          <w:tcPr>
            <w:tcW w:type="dxa" w:w="1234"/>
          </w:tcPr>
          <w:p>
            <w:r>
              <w:t>Applies only to specific suppliers</w:t>
            </w:r>
          </w:p>
        </w:tc>
        <w:tc>
          <w:tcPr>
            <w:tcW w:type="dxa" w:w="1234"/>
          </w:tcPr>
          <w:p>
            <w:r>
              <w:t>Wording was adjusted through a subcontractor compliance review and formal amendments to mitigate supply chain exposure.</w:t>
              <w:br/>
              <w:br/>
              <w:t>Historical Reference</w:t>
              <w:br/>
              <w:t>Source:</w:t>
              <w:br/>
              <w:t>d1.docx</w:t>
              <w:br/>
              <w:t>Clause: Force Majeure</w:t>
              <w:br/>
              <w:t>Requirement: Applies to subcontractors</w:t>
              <w:br/>
              <w:br/>
              <w:t>Quote:</w:t>
              <w:br/>
              <w:t>"Wording adjusted after subcontractor compliance review; closed after formal execution of Amendment 2."</w:t>
            </w:r>
          </w:p>
        </w:tc>
      </w:tr>
      <w:tr>
        <w:tc>
          <w:tcPr>
            <w:tcW w:type="dxa" w:w="1234"/>
          </w:tcPr>
          <w:p>
            <w:r>
              <w:t>Force Majeure</w:t>
            </w:r>
          </w:p>
        </w:tc>
        <w:tc>
          <w:tcPr>
            <w:tcW w:type="dxa" w:w="1234"/>
          </w:tcPr>
          <w:p>
            <w:r>
              <w:t>Notice obligations defined</w:t>
            </w:r>
          </w:p>
        </w:tc>
        <w:tc>
          <w:tcPr>
            <w:tcW w:type="dxa" w:w="1234"/>
          </w:tcPr>
          <w:p>
            <w:r>
              <w:t>Provisions regarding 'Notice obligations defined': Supplier may claim Force Majeure relief for events affecting only the Tier-1 critical sub-suppliers named in Annex D or the approved international logistics carrier.</w:t>
            </w:r>
          </w:p>
        </w:tc>
        <w:tc>
          <w:tcPr>
            <w:tcW w:type="dxa" w:w="1234"/>
          </w:tcPr>
          <w:p>
            <w:r>
              <w:t>Partially Met</w:t>
            </w:r>
          </w:p>
        </w:tc>
        <w:tc>
          <w:tcPr>
            <w:tcW w:type="dxa" w:w="1234"/>
          </w:tcPr>
          <w:p>
            <w:r>
              <w:t>Supplier may claim Force Majeure relief for events affecting only the Tier-1 critical sub-suppliers named</w:t>
              <w:br/>
              <w:t>in Annex D or the approved international logistics carrier.</w:t>
            </w:r>
          </w:p>
        </w:tc>
        <w:tc>
          <w:tcPr>
            <w:tcW w:type="dxa" w:w="1234"/>
          </w:tcPr>
          <w:p>
            <w:r>
              <w:t>Clause contains material limitations, exceptions, carve-outs, conditions, or restricted applicability</w:t>
            </w:r>
          </w:p>
        </w:tc>
        <w:tc>
          <w:tcPr>
            <w:tcW w:type="dxa" w:w="1234"/>
          </w:tcPr>
          <w:p>
            <w:r>
              <w:t>Negotiations focused on extending unrealistic 24-hour notice windows to more achievable timelines, such as 72 hours or five business days.</w:t>
              <w:br/>
              <w:br/>
              <w:t>Historical Reference</w:t>
              <w:br/>
              <w:t>Sources:</w:t>
              <w:br/>
              <w:t>• d1.docx – Force Majeure</w:t>
              <w:br/>
              <w:t>• d2.docx – Force Majeure</w:t>
            </w:r>
          </w:p>
        </w:tc>
      </w:tr>
      <w:tr>
        <w:tc>
          <w:tcPr>
            <w:tcW w:type="dxa" w:w="1234"/>
          </w:tcPr>
          <w:p>
            <w:r>
              <w:t>Termination</w:t>
            </w:r>
          </w:p>
        </w:tc>
        <w:tc>
          <w:tcPr>
            <w:tcW w:type="dxa" w:w="1234"/>
          </w:tcPr>
          <w:p>
            <w:r>
              <w:t>Termination rights defined</w:t>
            </w:r>
          </w:p>
        </w:tc>
        <w:tc>
          <w:tcPr>
            <w:tcW w:type="dxa" w:w="1234"/>
          </w:tcPr>
          <w:p>
            <w:r>
              <w:t>Provisions regarding 'Termination rights defined': If Buyer cancels the Purchase Order for convenience after Supplier acknowledgement, Buyer shall pay the following fee as a percentage of the order value, subject to the notes below: 0-30 days: 7. 5%; 31-60 days: 25%; 61-90 days: 38%; 91-120 days: 55%; 121-150 days: 70% less documented resale or scrap salvage actually realized by Supplier; 151-180 days: 85%; and 181 or more days: 100% of the undelivered balance only.</w:t>
            </w:r>
          </w:p>
        </w:tc>
        <w:tc>
          <w:tcPr>
            <w:tcW w:type="dxa" w:w="1234"/>
          </w:tcPr>
          <w:p>
            <w:r>
              <w:t>Met</w:t>
            </w:r>
          </w:p>
        </w:tc>
        <w:tc>
          <w:tcPr>
            <w:tcW w:type="dxa" w:w="1234"/>
          </w:tcPr>
          <w:p>
            <w:r>
              <w:t>If Buyer cancels the Purchase Order for convenience after Supplier acknowledgement,</w:t>
              <w:br/>
              <w:t>Buyer shall pay the following fee as a percentage of the order value, subject to the notes below: 0-30 days: 7.5%; 31-60 days: 25%;</w:t>
              <w:br/>
              <w:t>61-90 days: 38%; 91-120 days: 55%; 121-150 days: 70% less documented resale or scrap salvage actually realized by Supplier;</w:t>
              <w:br/>
              <w:t>151-180 days: 85%; and 181 or more days: 100% of the undelivered balance only.</w:t>
            </w:r>
          </w:p>
        </w:tc>
        <w:tc>
          <w:tcPr>
            <w:tcW w:type="dxa" w:w="1234"/>
          </w:tcPr>
          <w:p>
            <w:r>
              <w:t>If Buyer cancels the Purchase Order for convenience after Supplier acknowledgement,</w:t>
              <w:br/>
              <w:t>Buyer shall pay the following fee as a percentage of the order value, subject to the notes below: 0-30 days: 7.5%; 31-60 days: 25%;</w:t>
              <w:br/>
              <w:t>61-90 days: 38%; 91-120 days: 55%; 121-150 days: 70% less documented resale or scrap salvage actually realized by Supplier;</w:t>
              <w:br/>
              <w:t>151-180 days: 85%; and 181 or more days: 100% of the undelivered balance only.</w:t>
            </w:r>
          </w:p>
        </w:tc>
        <w:tc>
          <w:tcPr>
            <w:tcW w:type="dxa" w:w="1234"/>
          </w:tcPr>
          <w:p>
            <w:r>
              <w:t>Termination rights were standardized by the legal team and updated to address imbalances regarding supplier-initiated termination for non-payment.</w:t>
              <w:br/>
              <w:br/>
              <w:t>Historical Reference</w:t>
              <w:br/>
              <w:t>Sources:</w:t>
              <w:br/>
              <w:t>• d1.docx – Termination</w:t>
              <w:br/>
              <w:t>• d2.docx – Termination</w:t>
            </w:r>
          </w:p>
        </w:tc>
      </w:tr>
      <w:tr>
        <w:tc>
          <w:tcPr>
            <w:tcW w:type="dxa" w:w="1234"/>
          </w:tcPr>
          <w:p>
            <w:r>
              <w:t>Termination</w:t>
            </w:r>
          </w:p>
        </w:tc>
        <w:tc>
          <w:tcPr>
            <w:tcW w:type="dxa" w:w="1234"/>
          </w:tcPr>
          <w:p>
            <w:r>
              <w:t>Cancellation fee structure defined</w:t>
            </w:r>
          </w:p>
        </w:tc>
        <w:tc>
          <w:tcPr>
            <w:tcW w:type="dxa" w:w="1234"/>
          </w:tcPr>
          <w:p>
            <w:r>
              <w:t>Provisions regarding 'Cancellation fee structure defined': If Buyer cancels the Purchase Order for convenience after Supplier acknowledgement, Buyer shall pay the following fee as a percentage of the order value, subject to the notes below: 0-30 days: 7. 5%; 31-60 days: 25%; 61-90 days: 38%; 91-120 days: 55%; 121-150 days: 70% less documented resale or scrap salvage actually realized by Supplier; 151-180 days: 85%; and 181 or more days: 100% of the undelivered balance only.</w:t>
            </w:r>
          </w:p>
        </w:tc>
        <w:tc>
          <w:tcPr>
            <w:tcW w:type="dxa" w:w="1234"/>
          </w:tcPr>
          <w:p>
            <w:r>
              <w:t>Met</w:t>
            </w:r>
          </w:p>
        </w:tc>
        <w:tc>
          <w:tcPr>
            <w:tcW w:type="dxa" w:w="1234"/>
          </w:tcPr>
          <w:p>
            <w:r>
              <w:t>If Buyer cancels the Purchase Order for convenience after Supplier acknowledgement,</w:t>
              <w:br/>
              <w:t>Buyer shall pay the following fee as a percentage of the order value, subject to the notes below: 0-30 days: 7.5%; 31-60 days: 25%;</w:t>
              <w:br/>
              <w:t>61-90 days: 38%; 91-120 days: 55%; 121-150 days: 70% less documented resale or scrap salvage actually realized by Supplier;</w:t>
              <w:br/>
              <w:t>151-180 days: 85%; and 181 or more days: 100% of the undelivered balance only.</w:t>
            </w:r>
          </w:p>
        </w:tc>
        <w:tc>
          <w:tcPr>
            <w:tcW w:type="dxa" w:w="1234"/>
          </w:tcPr>
          <w:p>
            <w:r>
              <w:t>If Buyer cancels the Purchase Order for convenience after Supplier acknowledgement,</w:t>
              <w:br/>
              <w:t>Buyer shall pay the following fee as a percentage of the order value, subject to the notes below: 0-30 days: 7.5%; 31-60 days: 25%;</w:t>
              <w:br/>
              <w:t>61-90 days: 38%; 91-120 days: 55%; 121-150 days: 70% less documented resale or scrap salvage actually realized by Supplier;</w:t>
              <w:br/>
              <w:t>151-180 days: 85%; and 181 or more days: 100% of the undelivered balance only.</w:t>
            </w:r>
          </w:p>
        </w:tc>
        <w:tc>
          <w:tcPr>
            <w:tcW w:type="dxa" w:w="1234"/>
          </w:tcPr>
          <w:p>
            <w:r>
              <w:t>The commercial team attempted to replace flat-rate lump sums with a more dynamic fee structure to protect work-in-progress investments.</w:t>
              <w:br/>
              <w:br/>
              <w:t>Historical Reference</w:t>
              <w:br/>
              <w:t>Sources:</w:t>
              <w:br/>
              <w:t>• d1.docx – Termination</w:t>
              <w:br/>
              <w:t>• d2.docx – Termination</w:t>
            </w:r>
          </w:p>
        </w:tc>
      </w:tr>
      <w:tr>
        <w:tc>
          <w:tcPr>
            <w:tcW w:type="dxa" w:w="1234"/>
          </w:tcPr>
          <w:p>
            <w:r>
              <w:t>Termination</w:t>
            </w:r>
          </w:p>
        </w:tc>
        <w:tc>
          <w:tcPr>
            <w:tcW w:type="dxa" w:w="1234"/>
          </w:tcPr>
          <w:p>
            <w:r>
              <w:t>61-90 day cancellation fee 40%</w:t>
            </w:r>
          </w:p>
        </w:tc>
        <w:tc>
          <w:tcPr>
            <w:tcW w:type="dxa" w:w="1234"/>
          </w:tcPr>
          <w:p>
            <w:r>
              <w:t>Provisions regarding '61-90 day cancellation fee 40%': Article 00511. 9 - Cancellation and Early Termination Fee.</w:t>
            </w:r>
          </w:p>
        </w:tc>
        <w:tc>
          <w:tcPr>
            <w:tcW w:type="dxa" w:w="1234"/>
          </w:tcPr>
          <w:p>
            <w:r>
              <w:t>Not Met</w:t>
            </w:r>
          </w:p>
        </w:tc>
        <w:tc>
          <w:tcPr>
            <w:tcW w:type="dxa" w:w="1234"/>
          </w:tcPr>
          <w:p>
            <w:r>
              <w:t>Article 00511.9 - Cancellation and Early Termination Fee</w:t>
            </w:r>
          </w:p>
        </w:tc>
        <w:tc>
          <w:tcPr>
            <w:tcW w:type="dxa" w:w="1234"/>
          </w:tcPr>
          <w:p>
            <w:r>
              <w:t>Required 40.0% not found</w:t>
            </w:r>
          </w:p>
        </w:tc>
        <w:tc>
          <w:tcPr>
            <w:tcW w:type="dxa" w:w="1234"/>
          </w:tcPr>
          <w:p>
            <w:r>
              <w:t>Baseline percentages were corrected during document formatting and finalized following a legal review to address asset tracking shortfalls.</w:t>
              <w:br/>
              <w:br/>
              <w:t>Historical Reference</w:t>
              <w:br/>
              <w:t>Source:</w:t>
              <w:br/>
              <w:t>d1.docx</w:t>
              <w:br/>
              <w:t>Clause: Termination</w:t>
              <w:br/>
              <w:t>Requirement: 61-90 day cancellation fee 40%</w:t>
              <w:br/>
              <w:br/>
              <w:t>Quote:</w:t>
              <w:br/>
              <w:t>"Baseline percentages re-aligned and corrected during pre-signature document formatting review."</w:t>
            </w:r>
          </w:p>
        </w:tc>
      </w:tr>
      <w:tr>
        <w:tc>
          <w:tcPr>
            <w:tcW w:type="dxa" w:w="1234"/>
          </w:tcPr>
          <w:p>
            <w:r>
              <w:t>Suspension</w:t>
            </w:r>
          </w:p>
        </w:tc>
        <w:tc>
          <w:tcPr>
            <w:tcW w:type="dxa" w:w="1234"/>
          </w:tcPr>
          <w:p>
            <w:r>
              <w:t>Maximum 2 suspensions and 30 days aggregate</w:t>
            </w:r>
          </w:p>
        </w:tc>
        <w:tc>
          <w:tcPr>
            <w:tcW w:type="dxa" w:w="1234"/>
          </w:tcPr>
          <w:p>
            <w:r>
              <w:t>Provisions regarding 'Maximum 2 suspensions and 30 days aggregate': Suspension limits exclude regulatory, government, legal, and safety stoppages.</w:t>
            </w:r>
          </w:p>
        </w:tc>
        <w:tc>
          <w:tcPr>
            <w:tcW w:type="dxa" w:w="1234"/>
          </w:tcPr>
          <w:p>
            <w:r>
              <w:t>Partially Met</w:t>
            </w:r>
          </w:p>
        </w:tc>
        <w:tc>
          <w:tcPr>
            <w:tcW w:type="dxa" w:w="1234"/>
          </w:tcPr>
          <w:p>
            <w:r>
              <w:t>Suspension limits exclude regulatory, government, legal, and safety stoppages</w:t>
            </w:r>
          </w:p>
        </w:tc>
        <w:tc>
          <w:tcPr>
            <w:tcW w:type="dxa" w:w="1234"/>
          </w:tcPr>
          <w:p>
            <w:r>
              <w:t>Certain suspension categories excluded from limit</w:t>
            </w:r>
          </w:p>
        </w:tc>
        <w:tc>
          <w:tcPr>
            <w:tcW w:type="dxa" w:w="1234"/>
          </w:tcPr>
          <w:p>
            <w:r>
              <w:t>Hard duration limits and an approval workflow were implemented following a previous contract dispute to prevent indefinite project pauses.</w:t>
              <w:br/>
              <w:br/>
              <w:t>Historical Reference</w:t>
              <w:br/>
              <w:t>Source:</w:t>
              <w:br/>
              <w:t>d1.docx</w:t>
              <w:br/>
              <w:t>Clause: Suspension</w:t>
              <w:br/>
              <w:t>Requirement: Maximum 2 suspensions and 30 days aggregate</w:t>
              <w:br/>
              <w:br/>
              <w:t>Quote:</w:t>
              <w:br/>
              <w:t>"Added suspension approval workflow and hard duration limits after prior contract dispute review."</w:t>
            </w:r>
          </w:p>
        </w:tc>
      </w:tr>
      <w:tr>
        <w:tc>
          <w:tcPr>
            <w:tcW w:type="dxa" w:w="1234"/>
          </w:tcPr>
          <w:p>
            <w:r>
              <w:t>Suspension</w:t>
            </w:r>
          </w:p>
        </w:tc>
        <w:tc>
          <w:tcPr>
            <w:tcW w:type="dxa" w:w="1234"/>
          </w:tcPr>
          <w:p>
            <w:r>
              <w:t>Supplier obligations during suspension defined</w:t>
            </w:r>
          </w:p>
        </w:tc>
        <w:tc>
          <w:tcPr>
            <w:tcW w:type="dxa" w:w="1234"/>
          </w:tcPr>
          <w:p>
            <w:r>
              <w:t>Provisions regarding 'Supplier obligations during suspension defined': Buyer may suspend work for commercial convenience no more than two (2) times during the Purchase Order term, and the aggregate duration of such commercial-convenience suspensions shall not exceed thirty (30) calendar days unless Supplier agrees in writing.</w:t>
            </w:r>
          </w:p>
        </w:tc>
        <w:tc>
          <w:tcPr>
            <w:tcW w:type="dxa" w:w="1234"/>
          </w:tcPr>
          <w:p>
            <w:r>
              <w:t>Met</w:t>
            </w:r>
          </w:p>
        </w:tc>
        <w:tc>
          <w:tcPr>
            <w:tcW w:type="dxa" w:w="1234"/>
          </w:tcPr>
          <w:p>
            <w:r>
              <w:t>Buyer may suspend work for commercial convenience no more than two (2) times during the Purchase</w:t>
              <w:br/>
              <w:t>Order term, and the aggregate duration of such commercial-convenience suspensions shall not exceed thirty (30) calendar days unless</w:t>
              <w:br/>
              <w:t>Supplier agrees in writing.</w:t>
            </w:r>
          </w:p>
        </w:tc>
        <w:tc>
          <w:tcPr>
            <w:tcW w:type="dxa" w:w="1234"/>
          </w:tcPr>
          <w:p>
            <w:r>
              <w:t>Buyer may suspend work for commercial convenience no more than two (2) times during the Purchase</w:t>
              <w:br/>
              <w:t>Order term, and the aggregate duration of such commercial-convenience suspensions shall not exceed thirty (30) calendar days unless</w:t>
              <w:br/>
              <w:t>Supplier agrees in writing.</w:t>
            </w:r>
          </w:p>
        </w:tc>
        <w:tc>
          <w:tcPr>
            <w:tcW w:type="dxa" w:w="1234"/>
          </w:tcPr>
          <w:p>
            <w:r>
              <w:t>Engineering teams embedded explicit preservation protocols into the contract, while maintenance cost allocations were escalated to the procurement board for resolution.</w:t>
              <w:br/>
              <w:br/>
              <w:t>Historical Reference</w:t>
              <w:br/>
              <w:t>Sources:</w:t>
              <w:br/>
              <w:t>• d1.docx – Suspension</w:t>
              <w:br/>
              <w:t>• d2.docx – Suspension</w:t>
            </w:r>
          </w:p>
        </w:tc>
      </w:tr>
      <w:tr>
        <w:tc>
          <w:tcPr>
            <w:tcW w:type="dxa" w:w="1234"/>
          </w:tcPr>
          <w:p>
            <w:r>
              <w:t>Change Orders</w:t>
            </w:r>
          </w:p>
        </w:tc>
        <w:tc>
          <w:tcPr>
            <w:tcW w:type="dxa" w:w="1234"/>
          </w:tcPr>
          <w:p>
            <w:r>
              <w:t>Formal amendment process defined</w:t>
            </w:r>
          </w:p>
        </w:tc>
        <w:tc>
          <w:tcPr>
            <w:tcW w:type="dxa" w:w="1234"/>
          </w:tcPr>
          <w:p>
            <w:r>
              <w:t>Provisions regarding 'Formal amendment process defined': In case of inconsistency, the following order applies: (a) signed Purchase Order amendment; (b) Special Conditions in Articles 00511. 16; (c) Annex B - Commercial Schedule; (d) Annex C - Logistics Protocol; (e) the General Procurement Conditions; and (f) email clarifications not incorporated by amendment.</w:t>
            </w:r>
          </w:p>
        </w:tc>
        <w:tc>
          <w:tcPr>
            <w:tcW w:type="dxa" w:w="1234"/>
          </w:tcPr>
          <w:p>
            <w:r>
              <w:t>Met</w:t>
            </w:r>
          </w:p>
        </w:tc>
        <w:tc>
          <w:tcPr>
            <w:tcW w:type="dxa" w:w="1234"/>
          </w:tcPr>
          <w:p>
            <w:r>
              <w:t>In case of inconsistency, the following order applies: (a) signed Purchase Order amendment; (b)</w:t>
              <w:br/>
              <w:t>Special Conditions in Articles 00511.2 to 00511.16; (c) Annex B - Commercial Schedule; (d) Annex C - Logistics Protocol; (e) the</w:t>
              <w:br/>
              <w:t>General Procurement Conditions; and (f) email clarifications not incorporated by amendment.</w:t>
            </w:r>
          </w:p>
        </w:tc>
        <w:tc>
          <w:tcPr>
            <w:tcW w:type="dxa" w:w="1234"/>
          </w:tcPr>
          <w:p>
            <w:r>
              <w:t>In case of inconsistency, the following order applies: (a) signed Purchase Order amendment; (b)</w:t>
              <w:br/>
              <w:t>Special Conditions in Articles 00511.2 to 00511.16; (c) Annex B - Commercial Schedule; (d) Annex C - Logistics Protocol; (e) the</w:t>
              <w:br/>
              <w:t>General Procurement Conditions; and (f) email clarifications not incorporated by amendment.</w:t>
            </w:r>
          </w:p>
        </w:tc>
        <w:tc>
          <w:tcPr>
            <w:tcW w:type="dxa" w:w="1234"/>
          </w:tcPr>
          <w:p>
            <w:r>
              <w:t>A formal change request protocol and a strict document precedence matrix were integrated to eliminate the risks associated with informal amendments.</w:t>
              <w:br/>
              <w:br/>
              <w:t>Historical Reference</w:t>
              <w:br/>
              <w:t>Source:</w:t>
              <w:br/>
              <w:t>d2.docx</w:t>
              <w:br/>
              <w:t>Clause: Change Orders</w:t>
              <w:br/>
              <w:t>Requirement: Formal amendment process defined</w:t>
              <w:br/>
              <w:br/>
              <w:t>Quote:</w:t>
              <w:br/>
              <w:t>"Implemented formal change request protocol and strict document precedence matrix; closed after amendment integration."</w:t>
            </w:r>
          </w:p>
        </w:tc>
      </w:tr>
      <w:tr>
        <w:tc>
          <w:tcPr>
            <w:tcW w:type="dxa" w:w="1234"/>
          </w:tcPr>
          <w:p>
            <w:r>
              <w:t>Change Orders</w:t>
            </w:r>
          </w:p>
        </w:tc>
        <w:tc>
          <w:tcPr>
            <w:tcW w:type="dxa" w:w="1234"/>
          </w:tcPr>
          <w:p>
            <w:r>
              <w:t>Timeline for approval defined</w:t>
            </w:r>
          </w:p>
        </w:tc>
        <w:tc>
          <w:tcPr>
            <w:tcW w:type="dxa" w:w="1234"/>
          </w:tcPr>
          <w:p>
            <w:r>
              <w:t>Provisions regarding 'Timeline for approval defined': In case of inconsistency, the following order applies: (a) signed Purchase Order amendment; (b) Special Conditions in Articles 00511. 16; (c) Annex B - Commercial Schedule; (d) Annex C - Logistics Protocol; (e) the General Procurement Conditions; and (f) email clarifications not incorporated by amendment.</w:t>
            </w:r>
          </w:p>
        </w:tc>
        <w:tc>
          <w:tcPr>
            <w:tcW w:type="dxa" w:w="1234"/>
          </w:tcPr>
          <w:p>
            <w:r>
              <w:t>Met</w:t>
            </w:r>
          </w:p>
        </w:tc>
        <w:tc>
          <w:tcPr>
            <w:tcW w:type="dxa" w:w="1234"/>
          </w:tcPr>
          <w:p>
            <w:r>
              <w:t>In case of inconsistency, the following order applies: (a) signed Purchase Order amendment; (b)</w:t>
              <w:br/>
              <w:t>Special Conditions in Articles 00511.2 to 00511.16; (c) Annex B - Commercial Schedule; (d) Annex C - Logistics Protocol; (e) the</w:t>
              <w:br/>
              <w:t>General Procurement Conditions; and (f) email clarifications not incorporated by amendment.</w:t>
            </w:r>
          </w:p>
        </w:tc>
        <w:tc>
          <w:tcPr>
            <w:tcW w:type="dxa" w:w="1234"/>
          </w:tcPr>
          <w:p>
            <w:r>
              <w:t>In case of inconsistency, the following order applies: (a) signed Purchase Order amendment; (b)</w:t>
              <w:br/>
              <w:t>Special Conditions in Articles 00511.2 to 00511.16; (c) Annex B - Commercial Schedule; (d) Annex C - Logistics Protocol; (e) the</w:t>
              <w:br/>
              <w:t>General Procurement Conditions; and (f) email clarifications not incorporated by amendment.</w:t>
            </w:r>
          </w:p>
        </w:tc>
        <w:tc>
          <w:tcPr>
            <w:tcW w:type="dxa" w:w="1234"/>
          </w:tcPr>
          <w:p>
            <w:r>
              <w:t>Efforts were made to replace vague commercial timeframes with specific day-based limits and to eliminate unilateral directives that bypassed cost tracking.</w:t>
              <w:br/>
              <w:br/>
              <w:t>Historical Reference</w:t>
              <w:br/>
              <w:t>Source:</w:t>
              <w:br/>
              <w:t>d2.docx</w:t>
              <w:br/>
              <w:t>Clause: Change Orders</w:t>
              <w:br/>
              <w:t>Requirement: Timeline for approval defined</w:t>
              <w:br/>
              <w:br/>
              <w:t>Quote:</w:t>
              <w:br/>
              <w:t>"Implemented formal change request and approval process; unilateral directives flagged for secondary elimination."</w:t>
            </w:r>
          </w:p>
        </w:tc>
      </w:tr>
      <w:tr>
        <w:tc>
          <w:tcPr>
            <w:tcW w:type="dxa" w:w="1234"/>
          </w:tcPr>
          <w:p>
            <w:r>
              <w:t>Governing Law</w:t>
            </w:r>
          </w:p>
        </w:tc>
        <w:tc>
          <w:tcPr>
            <w:tcW w:type="dxa" w:w="1234"/>
          </w:tcPr>
          <w:p>
            <w:r>
              <w:t>Applicable law specified</w:t>
            </w:r>
          </w:p>
        </w:tc>
        <w:tc>
          <w:tcPr>
            <w:tcW w:type="dxa" w:w="1234"/>
          </w:tcPr>
          <w:p>
            <w:r>
              <w:t>Provisions regarding 'Applicable law specified': This Purchase Order and all non-contractual obligations arising out of or in connection with it shall be governed by the laws of India, excluding conflict-of-law principles.</w:t>
            </w:r>
          </w:p>
        </w:tc>
        <w:tc>
          <w:tcPr>
            <w:tcW w:type="dxa" w:w="1234"/>
          </w:tcPr>
          <w:p>
            <w:r>
              <w:t>Partially Met</w:t>
            </w:r>
          </w:p>
        </w:tc>
        <w:tc>
          <w:tcPr>
            <w:tcW w:type="dxa" w:w="1234"/>
          </w:tcPr>
          <w:p>
            <w:r>
              <w:t>This Purchase Order and all non-contractual obligations arising out of or in connection with it shall be</w:t>
              <w:br/>
              <w:t>governed by the laws of India, excluding conflict-of-law principles.</w:t>
            </w:r>
          </w:p>
        </w:tc>
        <w:tc>
          <w:tcPr>
            <w:tcW w:type="dxa" w:w="1234"/>
          </w:tcPr>
          <w:p>
            <w:r>
              <w:t>Clause contains material limitations, exceptions, carve-outs, conditions, or restricted applicability</w:t>
            </w:r>
          </w:p>
        </w:tc>
        <w:tc>
          <w:tcPr>
            <w:tcW w:type="dxa" w:w="1234"/>
          </w:tcPr>
          <w:p>
            <w:r>
              <w:t>A standardized governing law framework was applied across all global procurement files to simplify cross-border legal enforcement.</w:t>
              <w:br/>
              <w:br/>
              <w:t>Historical Reference</w:t>
              <w:br/>
              <w:t>Source:</w:t>
              <w:br/>
              <w:t>d1.docx</w:t>
              <w:br/>
              <w:t>Clause: Governing Law</w:t>
              <w:br/>
              <w:t>Requirement: Applicable law specified</w:t>
              <w:br/>
              <w:br/>
              <w:t>Quote:</w:t>
              <w:br/>
              <w:t>"Standardized governing law framework applied across all active global procurement files."</w:t>
            </w:r>
          </w:p>
        </w:tc>
      </w:tr>
      <w:tr>
        <w:tc>
          <w:tcPr>
            <w:tcW w:type="dxa" w:w="1234"/>
          </w:tcPr>
          <w:p>
            <w:r>
              <w:t>Dispute Resolution</w:t>
            </w:r>
          </w:p>
        </w:tc>
        <w:tc>
          <w:tcPr>
            <w:tcW w:type="dxa" w:w="1234"/>
          </w:tcPr>
          <w:p>
            <w:r>
              <w:t>Arbitration mechanism defined</w:t>
            </w:r>
          </w:p>
        </w:tc>
        <w:tc>
          <w:tcPr>
            <w:tcW w:type="dxa" w:w="1234"/>
          </w:tcPr>
          <w:p>
            <w:r>
              <w:t>Provisions regarding 'Arbitration mechanism defined': Disputes limited to laboratory test methodology shall first be referred to a technical expert in Mumbai; if the expert's determination is rejected, only the remaining legal dispute proceeds to Singapore arbitration.</w:t>
            </w:r>
          </w:p>
        </w:tc>
        <w:tc>
          <w:tcPr>
            <w:tcW w:type="dxa" w:w="1234"/>
          </w:tcPr>
          <w:p>
            <w:r>
              <w:t>Met</w:t>
            </w:r>
          </w:p>
        </w:tc>
        <w:tc>
          <w:tcPr>
            <w:tcW w:type="dxa" w:w="1234"/>
          </w:tcPr>
          <w:p>
            <w:r>
              <w:t>Disputes limited to laboratory test methodology shall</w:t>
              <w:br/>
              <w:t>first be referred to a technical expert in Mumbai; if the expert's determination is rejected, only the remaining legal dispute proceeds to</w:t>
              <w:br/>
              <w:t>Singapore arbitration.</w:t>
            </w:r>
          </w:p>
        </w:tc>
        <w:tc>
          <w:tcPr>
            <w:tcW w:type="dxa" w:w="1234"/>
          </w:tcPr>
          <w:p>
            <w:r>
              <w:t>Disputes limited to laboratory test methodology shall</w:t>
              <w:br/>
              <w:t>first be referred to a technical expert in Mumbai; if the expert's determination is rejected, only the remaining legal dispute proceeds to</w:t>
              <w:br/>
              <w:t>Singapore arbitration.</w:t>
            </w:r>
          </w:p>
        </w:tc>
        <w:tc>
          <w:tcPr>
            <w:tcW w:type="dxa" w:w="1234"/>
          </w:tcPr>
          <w:p>
            <w:r>
              <w:t>A multi-tier framework was introduced to address home-court bias, and new arbitration text was proposed to replace direct reliance on municipal courts.</w:t>
              <w:br/>
              <w:br/>
              <w:t>Historical Reference</w:t>
              <w:br/>
              <w:t>Sources:</w:t>
              <w:br/>
              <w:t>• d1.docx – Dispute Resolution</w:t>
              <w:br/>
              <w:t>• d2.docx – Dispute Resolution</w:t>
            </w:r>
          </w:p>
        </w:tc>
      </w:tr>
      <w:tr>
        <w:tc>
          <w:tcPr>
            <w:tcW w:type="dxa" w:w="1234"/>
          </w:tcPr>
          <w:p>
            <w:r>
              <w:t>Dispute Resolution</w:t>
            </w:r>
          </w:p>
        </w:tc>
        <w:tc>
          <w:tcPr>
            <w:tcW w:type="dxa" w:w="1234"/>
          </w:tcPr>
          <w:p>
            <w:r>
              <w:t>Seat of arbitration specified</w:t>
            </w:r>
          </w:p>
        </w:tc>
        <w:tc>
          <w:tcPr>
            <w:tcW w:type="dxa" w:w="1234"/>
          </w:tcPr>
          <w:p>
            <w:r>
              <w:t>Provisions regarding 'Seat of arbitration specified': Disputes limited to laboratory test methodology shall first be referred to a technical expert in Mumbai; if the expert's determination is rejected, only the remaining legal dispute proceeds to Singapore arbitration.</w:t>
            </w:r>
          </w:p>
        </w:tc>
        <w:tc>
          <w:tcPr>
            <w:tcW w:type="dxa" w:w="1234"/>
          </w:tcPr>
          <w:p>
            <w:r>
              <w:t>Met</w:t>
            </w:r>
          </w:p>
        </w:tc>
        <w:tc>
          <w:tcPr>
            <w:tcW w:type="dxa" w:w="1234"/>
          </w:tcPr>
          <w:p>
            <w:r>
              <w:t>Disputes limited to laboratory test methodology shall</w:t>
              <w:br/>
              <w:t>first be referred to a technical expert in Mumbai; if the expert's determination is rejected, only the remaining legal dispute proceeds to</w:t>
              <w:br/>
              <w:t>Singapore arbitration.</w:t>
            </w:r>
          </w:p>
        </w:tc>
        <w:tc>
          <w:tcPr>
            <w:tcW w:type="dxa" w:w="1234"/>
          </w:tcPr>
          <w:p>
            <w:r>
              <w:t>Disputes limited to laboratory test methodology shall</w:t>
              <w:br/>
              <w:t>first be referred to a technical expert in Mumbai; if the expert's determination is rejected, only the remaining legal dispute proceeds to</w:t>
              <w:br/>
              <w:t>Singapore arbitration.</w:t>
            </w:r>
          </w:p>
        </w:tc>
        <w:tc>
          <w:tcPr>
            <w:tcW w:type="dxa" w:w="1234"/>
          </w:tcPr>
          <w:p>
            <w:r>
              <w:t>The legal committee has been evaluating alternative neutral international locations to resolve the absence of a defined legal seat for arbitration.</w:t>
              <w:br/>
              <w:br/>
              <w:t>Historical Reference</w:t>
              <w:br/>
              <w:t>Source:</w:t>
              <w:br/>
              <w:t>d1.docx</w:t>
              <w:br/>
              <w:t>Clause: Dispute Resolution</w:t>
              <w:br/>
              <w:t>Requirement: Seat of arbitration specified</w:t>
              <w:br/>
              <w:br/>
              <w:t>Quote:</w:t>
              <w:br/>
              <w:t>"Resolution stalled in legal committee; alternative international neutral locations are currently under active evaluation."</w:t>
            </w:r>
          </w:p>
        </w:tc>
      </w:tr>
      <w:tr>
        <w:tc>
          <w:tcPr>
            <w:tcW w:type="dxa" w:w="1234"/>
          </w:tcPr>
          <w:p>
            <w:r>
              <w:t>Insurance</w:t>
            </w:r>
          </w:p>
        </w:tc>
        <w:tc>
          <w:tcPr>
            <w:tcW w:type="dxa" w:w="1234"/>
          </w:tcPr>
          <w:p>
            <w:r>
              <w:t>Insurance responsibilities defined</w:t>
            </w:r>
          </w:p>
        </w:tc>
        <w:tc>
          <w:tcPr>
            <w:tcW w:type="dxa" w:w="1234"/>
          </w:tcPr>
          <w:p>
            <w:r>
              <w:t>Provisions regarding 'Insurance responsibilities defined': Article 00511. 4 - Delivery, Readiness, and Storage.</w:t>
            </w:r>
          </w:p>
        </w:tc>
        <w:tc>
          <w:tcPr>
            <w:tcW w:type="dxa" w:w="1234"/>
          </w:tcPr>
          <w:p>
            <w:r>
              <w:t>Met</w:t>
            </w:r>
          </w:p>
        </w:tc>
        <w:tc>
          <w:tcPr>
            <w:tcW w:type="dxa" w:w="1234"/>
          </w:tcPr>
          <w:p>
            <w:r>
              <w:t>Article 00511.4 - Delivery, Readiness, and Storage</w:t>
            </w:r>
          </w:p>
        </w:tc>
        <w:tc>
          <w:tcPr>
            <w:tcW w:type="dxa" w:w="1234"/>
          </w:tcPr>
          <w:p>
            <w:r>
              <w:t>Article 00511.4 - Delivery, Readiness, and Storage</w:t>
            </w:r>
          </w:p>
        </w:tc>
        <w:tc>
          <w:tcPr>
            <w:tcW w:type="dxa" w:w="1234"/>
          </w:tcPr>
          <w:p>
            <w:r>
              <w:t>Historical actions involved validating standard risk engineering baselines and expanding coverage via supplementary agreements to include specialized marine cargo policies.</w:t>
              <w:br/>
              <w:br/>
              <w:t>Historical Reference</w:t>
              <w:br/>
              <w:t>Sources:</w:t>
              <w:br/>
              <w:t>• d1.docx – Insurance</w:t>
              <w:br/>
              <w:t>• d2.docx – Insurance</w:t>
            </w:r>
          </w:p>
        </w:tc>
      </w:tr>
      <w:tr>
        <w:tc>
          <w:tcPr>
            <w:tcW w:type="dxa" w:w="1234"/>
          </w:tcPr>
          <w:p>
            <w:r>
              <w:t>Insurance</w:t>
            </w:r>
          </w:p>
        </w:tc>
        <w:tc>
          <w:tcPr>
            <w:tcW w:type="dxa" w:w="1234"/>
          </w:tcPr>
          <w:p>
            <w:r>
              <w:t>Equipment damage covered while at buyer premises</w:t>
            </w:r>
          </w:p>
        </w:tc>
        <w:tc>
          <w:tcPr>
            <w:tcW w:type="dxa" w:w="1234"/>
          </w:tcPr>
          <w:p>
            <w:r>
              <w:t>Provisions regarding 'Equipment damage covered while at buyer premises': Storage charges are without prejudice to Supplier's right to claim insurance or preservation costs caused by abnormal storage conditions.</w:t>
            </w:r>
          </w:p>
        </w:tc>
        <w:tc>
          <w:tcPr>
            <w:tcW w:type="dxa" w:w="1234"/>
          </w:tcPr>
          <w:p>
            <w:r>
              <w:t>Met</w:t>
            </w:r>
          </w:p>
        </w:tc>
        <w:tc>
          <w:tcPr>
            <w:tcW w:type="dxa" w:w="1234"/>
          </w:tcPr>
          <w:p>
            <w:r>
              <w:t>Storage charges are</w:t>
              <w:br/>
              <w:t>without prejudice to Supplier's right to claim insurance or preservation costs caused by abnormal storage conditions.</w:t>
            </w:r>
          </w:p>
        </w:tc>
        <w:tc>
          <w:tcPr>
            <w:tcW w:type="dxa" w:w="1234"/>
          </w:tcPr>
          <w:p>
            <w:r>
              <w:t>Storage charges are</w:t>
              <w:br/>
              <w:t>without prejudice to Supplier's right to claim insurance or preservation costs caused by abnormal storage conditions.</w:t>
            </w:r>
          </w:p>
        </w:tc>
        <w:tc>
          <w:tcPr>
            <w:tcW w:type="dxa" w:w="1234"/>
          </w:tcPr>
          <w:p>
            <w:r>
              <w:t>When vendors refused to accept storage risks, management accepted the field damage risk by securing a secondary corporate property rider policy.</w:t>
              <w:br/>
              <w:br/>
              <w:t>Historical Reference</w:t>
              <w:br/>
              <w:t>Source:</w:t>
              <w:br/>
              <w:t>d1.docx</w:t>
              <w:br/>
              <w:t>Clause: Insurance</w:t>
              <w:br/>
              <w:t>Requirement: Equipment damage covered while at buyer premises</w:t>
              <w:br/>
              <w:br/>
              <w:t>Quote:</w:t>
              <w:br/>
              <w:t>"Management accepted field damage risk after securing a secondary comprehensive corporate property rider policy."</w:t>
            </w:r>
          </w:p>
        </w:tc>
      </w:tr>
      <w:tr>
        <w:tc>
          <w:tcPr>
            <w:tcW w:type="dxa" w:w="1234"/>
          </w:tcPr>
          <w:p>
            <w:r>
              <w:t>Liability</w:t>
            </w:r>
          </w:p>
        </w:tc>
        <w:tc>
          <w:tcPr>
            <w:tcW w:type="dxa" w:w="1234"/>
          </w:tcPr>
          <w:p>
            <w:r>
              <w:t>Aggregate liability cap defined</w:t>
            </w:r>
          </w:p>
        </w:tc>
        <w:tc>
          <w:tcPr>
            <w:tcW w:type="dxa" w:w="1234"/>
          </w:tcPr>
          <w:p>
            <w:r>
              <w:t>Provisions regarding 'Aggregate liability cap defined': Supplier's aggregate liability for repair or replacement of defective equipment under this Article shall not exceed ten percent (10%) of the total Purchase Order value.</w:t>
            </w:r>
          </w:p>
        </w:tc>
        <w:tc>
          <w:tcPr>
            <w:tcW w:type="dxa" w:w="1234"/>
          </w:tcPr>
          <w:p>
            <w:r>
              <w:t>Met</w:t>
            </w:r>
          </w:p>
        </w:tc>
        <w:tc>
          <w:tcPr>
            <w:tcW w:type="dxa" w:w="1234"/>
          </w:tcPr>
          <w:p>
            <w:r>
              <w:t>Supplier's aggregate liability for repair</w:t>
              <w:br/>
              <w:t>or replacement of defective equipment under this Article shall not exceed ten percent (10%) of the total Purchase Order value.</w:t>
            </w:r>
          </w:p>
        </w:tc>
        <w:tc>
          <w:tcPr>
            <w:tcW w:type="dxa" w:w="1234"/>
          </w:tcPr>
          <w:p>
            <w:r>
              <w:t>Supplier's aggregate liability for repair</w:t>
              <w:br/>
              <w:t>or replacement of defective equipment under this Article shall not exceed ten percent (10%) of the total Purchase Order value.</w:t>
            </w:r>
          </w:p>
        </w:tc>
        <w:tc>
          <w:tcPr>
            <w:tcW w:type="dxa" w:w="1234"/>
          </w:tcPr>
          <w:p>
            <w:r>
              <w:t>Efforts focused on eliminating uncapped liability exposure through executive escalation and multi-round amendments to establish a defined financial ceiling.</w:t>
              <w:br/>
              <w:br/>
              <w:t>Historical Reference</w:t>
              <w:br/>
              <w:t>Sources:</w:t>
              <w:br/>
              <w:t>• d1.docx – Liability</w:t>
              <w:br/>
              <w:t>• d2.docx – Liability</w:t>
            </w:r>
          </w:p>
        </w:tc>
      </w:tr>
      <w:tr>
        <w:tc>
          <w:tcPr>
            <w:tcW w:type="dxa" w:w="1234"/>
          </w:tcPr>
          <w:p>
            <w:r>
              <w:t>Liability</w:t>
            </w:r>
          </w:p>
        </w:tc>
        <w:tc>
          <w:tcPr>
            <w:tcW w:type="dxa" w:w="1234"/>
          </w:tcPr>
          <w:p>
            <w:r>
              <w:t>Liability carve-outs defined</w:t>
            </w:r>
          </w:p>
        </w:tc>
        <w:tc>
          <w:tcPr>
            <w:tcW w:type="dxa" w:w="1234"/>
          </w:tcPr>
          <w:p>
            <w:r>
              <w:t>Provisions regarding 'Liability carve-outs defined': The cap in Article 00511. 1 does not apply to direct costs of emergency removal, re-installation, or temporary site stabilization if the defect creates a safety shutdown.</w:t>
            </w:r>
          </w:p>
        </w:tc>
        <w:tc>
          <w:tcPr>
            <w:tcW w:type="dxa" w:w="1234"/>
          </w:tcPr>
          <w:p>
            <w:r>
              <w:t>Partially Met</w:t>
            </w:r>
          </w:p>
        </w:tc>
        <w:tc>
          <w:tcPr>
            <w:tcW w:type="dxa" w:w="1234"/>
          </w:tcPr>
          <w:p>
            <w:r>
              <w:t>The cap in Article 00511.8.1 does not apply to direct costs of emergency removal, re-installation, or</w:t>
              <w:br/>
              <w:t>temporary site stabilization if the defect creates a safety shutdown.</w:t>
            </w:r>
          </w:p>
        </w:tc>
        <w:tc>
          <w:tcPr>
            <w:tcW w:type="dxa" w:w="1234"/>
          </w:tcPr>
          <w:p>
            <w:r>
              <w:t>Clause contains material limitations, exceptions, carve-outs, conditions, or restricted applicability</w:t>
            </w:r>
          </w:p>
        </w:tc>
        <w:tc>
          <w:tcPr>
            <w:tcW w:type="dxa" w:w="1234"/>
          </w:tcPr>
          <w:p>
            <w:r>
              <w:t>Negotiations focused on restricting carve-outs to intellectual property indemnities and removing open-ended safety shutdown exclusions.</w:t>
              <w:br/>
              <w:br/>
              <w:t>Historical Reference</w:t>
              <w:br/>
              <w:t>Source:</w:t>
              <w:br/>
              <w:t>d1.docx</w:t>
              <w:br/>
              <w:t>Clause: Liability</w:t>
              <w:br/>
              <w:t>Requirement: Liability carve-outs defined</w:t>
              <w:br/>
              <w:br/>
              <w:t>Quote:</w:t>
              <w:br/>
              <w:t>"Reduced exposure profiles achieved by removing open-ended safety shutdown exclusions from original drafts."</w:t>
            </w:r>
          </w:p>
        </w:tc>
      </w:tr>
      <w:tr>
        <w:tc>
          <w:tcPr>
            <w:tcW w:type="dxa" w:w="1234"/>
          </w:tcPr>
          <w:p>
            <w:r>
              <w:t>Consequential Damages</w:t>
            </w:r>
          </w:p>
        </w:tc>
        <w:tc>
          <w:tcPr>
            <w:tcW w:type="dxa" w:w="1234"/>
          </w:tcPr>
          <w:p>
            <w:r>
              <w:t>Consequential damages excluded</w:t>
            </w:r>
          </w:p>
        </w:tc>
        <w:tc>
          <w:tcPr>
            <w:tcW w:type="dxa" w:w="1234"/>
          </w:tcPr>
          <w:p>
            <w:r>
              <w:t>Provisions regarding 'Consequential damages excluded': Neither party shall be liable to the other for loss of revenue, loss of profit, loss of use, loss of production, downtime, loss of business opportunity, indirect damages, special damages, punitive damages, exemplary damages, or consequential damages.</w:t>
            </w:r>
          </w:p>
        </w:tc>
        <w:tc>
          <w:tcPr>
            <w:tcW w:type="dxa" w:w="1234"/>
          </w:tcPr>
          <w:p>
            <w:r>
              <w:t>Partially Met</w:t>
            </w:r>
          </w:p>
        </w:tc>
        <w:tc>
          <w:tcPr>
            <w:tcW w:type="dxa" w:w="1234"/>
          </w:tcPr>
          <w:p>
            <w:r>
              <w:t>Neither party shall be liable to the other for loss of revenue, loss of profit, loss of use, loss</w:t>
              <w:br/>
              <w:t>of production, downtime, loss of business opportunity, indirect damages, special damages, punitive damages, exemplary damages, or</w:t>
              <w:br/>
              <w:t>consequential damages.</w:t>
            </w:r>
          </w:p>
        </w:tc>
        <w:tc>
          <w:tcPr>
            <w:tcW w:type="dxa" w:w="1234"/>
          </w:tcPr>
          <w:p>
            <w:r>
              <w:t>Clause contains material limitations, exceptions, carve-outs, conditions, or restricted applicability</w:t>
            </w:r>
          </w:p>
        </w:tc>
        <w:tc>
          <w:tcPr>
            <w:tcW w:type="dxa" w:w="1234"/>
          </w:tcPr>
          <w:p>
            <w:r>
              <w:t>Legal reviews were used to clarify damage definitions and integrate absolute mutual waivers for indirect and consequential losses.</w:t>
              <w:br/>
              <w:br/>
              <w:t>Historical Reference</w:t>
              <w:br/>
              <w:t>Source:</w:t>
              <w:br/>
              <w:t>d1.docx</w:t>
              <w:br/>
              <w:t>Clause: Consequential Damages</w:t>
              <w:br/>
              <w:t>Requirement: Consequential damages excluded</w:t>
              <w:br/>
              <w:br/>
              <w:t>Quote:</w:t>
              <w:br/>
              <w:t>"Clarified damage definitions and integrated absolute mutual waivers during legal review rounds."</w:t>
            </w:r>
          </w:p>
        </w:tc>
      </w:tr>
      <w:tr>
        <w:tc>
          <w:tcPr>
            <w:tcW w:type="dxa" w:w="1234"/>
          </w:tcPr>
          <w:p>
            <w:r>
              <w:t>Consequential Damages</w:t>
            </w:r>
          </w:p>
        </w:tc>
        <w:tc>
          <w:tcPr>
            <w:tcW w:type="dxa" w:w="1234"/>
          </w:tcPr>
          <w:p>
            <w:r>
              <w:t>Exceptions to exclusion defined</w:t>
            </w:r>
          </w:p>
        </w:tc>
        <w:tc>
          <w:tcPr>
            <w:tcW w:type="dxa" w:w="1234"/>
          </w:tcPr>
          <w:p>
            <w:r>
              <w:t>Provisions regarding 'Exceptions to exclusion defined': Neither party shall be liable to the other for loss of revenue, loss of profit, loss of use, loss of production, downtime, loss of business opportunity, indirect damages, special damages, punitive damages, exemplary damages, or consequential damages.</w:t>
            </w:r>
          </w:p>
        </w:tc>
        <w:tc>
          <w:tcPr>
            <w:tcW w:type="dxa" w:w="1234"/>
          </w:tcPr>
          <w:p>
            <w:r>
              <w:t>Partially Met</w:t>
            </w:r>
          </w:p>
        </w:tc>
        <w:tc>
          <w:tcPr>
            <w:tcW w:type="dxa" w:w="1234"/>
          </w:tcPr>
          <w:p>
            <w:r>
              <w:t>Neither party shall be liable to the other for loss of revenue, loss of profit, loss of use, loss</w:t>
              <w:br/>
              <w:t>of production, downtime, loss of business opportunity, indirect damages, special damages, punitive damages, exemplary damages, or</w:t>
              <w:br/>
              <w:t>consequential damages.</w:t>
            </w:r>
          </w:p>
        </w:tc>
        <w:tc>
          <w:tcPr>
            <w:tcW w:type="dxa" w:w="1234"/>
          </w:tcPr>
          <w:p>
            <w:r>
              <w:t>Clause contains material limitations, exceptions, carve-outs, conditions, or restricted applicability</w:t>
            </w:r>
          </w:p>
        </w:tc>
        <w:tc>
          <w:tcPr>
            <w:tcW w:type="dxa" w:w="1234"/>
          </w:tcPr>
          <w:p>
            <w:r>
              <w:t>Attempts were made to narrow exceptions to achieve an unconditional waiver, though some vendors re-inserted exclusions for environmental compliance incidents.</w:t>
              <w:br/>
              <w:br/>
              <w:t>Historical Reference</w:t>
              <w:br/>
              <w:t>Sources:</w:t>
              <w:br/>
              <w:t>• d1.docx – Consequential Damages</w:t>
              <w:br/>
              <w:t>• d2.docx – Consequential Damages</w:t>
            </w:r>
          </w:p>
        </w:tc>
      </w:tr>
      <w:tr>
        <w:tc>
          <w:tcPr>
            <w:tcW w:type="dxa" w:w="1234"/>
          </w:tcPr>
          <w:p>
            <w:r>
              <w:t>Critical Sub-Suppliers</w:t>
            </w:r>
          </w:p>
        </w:tc>
        <w:tc>
          <w:tcPr>
            <w:tcW w:type="dxa" w:w="1234"/>
          </w:tcPr>
          <w:p>
            <w:r>
              <w:t>Approved critical vendors identified</w:t>
            </w:r>
          </w:p>
        </w:tc>
        <w:tc>
          <w:tcPr>
            <w:tcW w:type="dxa" w:w="1234"/>
          </w:tcPr>
          <w:p>
            <w:r>
              <w:t>Provisions regarding 'Approved critical vendors identified': Annex D approved critical sub-suppliers: BrightForge Rings Pvt.</w:t>
            </w:r>
          </w:p>
        </w:tc>
        <w:tc>
          <w:tcPr>
            <w:tcW w:type="dxa" w:w="1234"/>
          </w:tcPr>
          <w:p>
            <w:r>
              <w:t>Met</w:t>
            </w:r>
          </w:p>
        </w:tc>
        <w:tc>
          <w:tcPr>
            <w:tcW w:type="dxa" w:w="1234"/>
          </w:tcPr>
          <w:p>
            <w:r>
              <w:t>Annex D approved critical sub-suppliers: BrightForge Rings Pvt.</w:t>
            </w:r>
          </w:p>
        </w:tc>
        <w:tc>
          <w:tcPr>
            <w:tcW w:type="dxa" w:w="1234"/>
          </w:tcPr>
          <w:p>
            <w:r>
              <w:t>Annex D approved critical sub-suppliers: BrightForge Rings Pvt.</w:t>
            </w:r>
          </w:p>
        </w:tc>
        <w:tc>
          <w:tcPr>
            <w:tcW w:type="dxa" w:w="1234"/>
          </w:tcPr>
          <w:p>
            <w:r>
              <w:t>Actions included pre-clearing alternate vendor directories with quality assurance and defining substitution controls during engineering alignment sessions.</w:t>
              <w:br/>
              <w:br/>
              <w:t>Historical Reference</w:t>
              <w:br/>
              <w:t>Sources:</w:t>
              <w:br/>
              <w:t>• d1.docx – Critical Sub-Suppliers</w:t>
              <w:br/>
              <w:t>• d2.docx – Critical Sub-Suppliers</w:t>
            </w:r>
          </w:p>
        </w:tc>
      </w:tr>
      <w:tr>
        <w:tc>
          <w:tcPr>
            <w:tcW w:type="dxa" w:w="1234"/>
          </w:tcPr>
          <w:p>
            <w:r>
              <w:t>Critical Sub-Suppliers</w:t>
            </w:r>
          </w:p>
        </w:tc>
        <w:tc>
          <w:tcPr>
            <w:tcW w:type="dxa" w:w="1234"/>
          </w:tcPr>
          <w:p>
            <w:r>
              <w:t>Vendor substitution restrictions defined</w:t>
            </w:r>
          </w:p>
        </w:tc>
        <w:tc>
          <w:tcPr>
            <w:tcW w:type="dxa" w:w="1234"/>
          </w:tcPr>
          <w:p>
            <w:r>
              <w:t>Provisions regarding 'Vendor substitution restrictions defined': Annex D approved critical sub-suppliers: BrightForge Rings Pvt.</w:t>
            </w:r>
          </w:p>
        </w:tc>
        <w:tc>
          <w:tcPr>
            <w:tcW w:type="dxa" w:w="1234"/>
          </w:tcPr>
          <w:p>
            <w:r>
              <w:t>Met</w:t>
            </w:r>
          </w:p>
        </w:tc>
        <w:tc>
          <w:tcPr>
            <w:tcW w:type="dxa" w:w="1234"/>
          </w:tcPr>
          <w:p>
            <w:r>
              <w:t>Annex D approved critical sub-suppliers: BrightForge Rings Pvt.</w:t>
            </w:r>
          </w:p>
        </w:tc>
        <w:tc>
          <w:tcPr>
            <w:tcW w:type="dxa" w:w="1234"/>
          </w:tcPr>
          <w:p>
            <w:r>
              <w:t>Annex D approved critical sub-suppliers: BrightForge Rings Pvt.</w:t>
            </w:r>
          </w:p>
        </w:tc>
        <w:tc>
          <w:tcPr>
            <w:tcW w:type="dxa" w:w="1234"/>
          </w:tcPr>
          <w:p>
            <w:r>
              <w:t>Internal audits flagged risks associated with unauthorized vendor substitutions, leading to remediation strategies and operational pauses for engineering verification.</w:t>
              <w:br/>
              <w:br/>
              <w:t>Historical Reference</w:t>
              <w:br/>
              <w:t>Source:</w:t>
              <w:br/>
              <w:t>d1.docx</w:t>
              <w:br/>
              <w:t>Clause: Critical Sub-Suppliers</w:t>
              <w:br/>
              <w:t>Requirement: Vendor substitution restrictions defined</w:t>
              <w:br/>
              <w:br/>
              <w:t>Quote:</w:t>
              <w:br/>
              <w:t>"Unauthorized substitution risks flagged by internal audit; remediation strategy currently under review."</w:t>
            </w:r>
          </w:p>
        </w:tc>
      </w:tr>
    </w:tbl>
    <w:p>
      <w:r>
        <w:br w:type="page"/>
      </w:r>
    </w:p>
    <w:p>
      <w:pPr>
        <w:pStyle w:val="Heading2"/>
      </w:pPr>
      <w:r>
        <w:t>Table 2 - Risk Assessment</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Clause</w:t>
            </w:r>
          </w:p>
        </w:tc>
        <w:tc>
          <w:tcPr>
            <w:tcW w:type="dxa" w:w="1440"/>
          </w:tcPr>
          <w:p>
            <w:r>
              <w:t>Requirement</w:t>
            </w:r>
          </w:p>
        </w:tc>
        <w:tc>
          <w:tcPr>
            <w:tcW w:type="dxa" w:w="1440"/>
          </w:tcPr>
          <w:p>
            <w:r>
              <w:t>RAG</w:t>
            </w:r>
          </w:p>
        </w:tc>
        <w:tc>
          <w:tcPr>
            <w:tcW w:type="dxa" w:w="1440"/>
          </w:tcPr>
          <w:p>
            <w:r>
              <w:t>Risk</w:t>
            </w:r>
          </w:p>
        </w:tc>
        <w:tc>
          <w:tcPr>
            <w:tcW w:type="dxa" w:w="1440"/>
          </w:tcPr>
          <w:p>
            <w:r>
              <w:t>Rationale</w:t>
            </w:r>
          </w:p>
        </w:tc>
        <w:tc>
          <w:tcPr>
            <w:tcW w:type="dxa" w:w="1440"/>
          </w:tcPr>
          <w:p>
            <w:r>
              <w:t>Mitigation</w:t>
            </w:r>
          </w:p>
        </w:tc>
      </w:tr>
      <w:tr>
        <w:tc>
          <w:tcPr>
            <w:tcW w:type="dxa" w:w="1440"/>
          </w:tcPr>
          <w:p>
            <w:r>
              <w:t>Payment Terms</w:t>
            </w:r>
          </w:p>
        </w:tc>
        <w:tc>
          <w:tcPr>
            <w:tcW w:type="dxa" w:w="1440"/>
          </w:tcPr>
          <w:p>
            <w:r>
              <w:t>45% Minimum Advance</w:t>
            </w:r>
          </w:p>
        </w:tc>
        <w:tc>
          <w:tcPr>
            <w:tcW w:type="dxa" w:w="1440"/>
          </w:tcPr>
          <w:p>
            <w:r>
              <w:t>Amber</w:t>
            </w:r>
          </w:p>
        </w:tc>
        <w:tc>
          <w:tcPr>
            <w:tcW w:type="dxa" w:w="1440"/>
          </w:tcPr>
          <w:p>
            <w:r>
              <w:t>Cash-flow risk and delayed advance payment</w:t>
            </w:r>
          </w:p>
        </w:tc>
        <w:tc>
          <w:tcPr>
            <w:tcW w:type="dxa" w:w="1440"/>
          </w:tcPr>
          <w:p>
            <w:r>
              <w:t>The 45 percent advance is split into two tranches. The final 15 percent is conditional upon delivery of a bank guarantee, signed kick-off minutes, and a document register. Buyer retains the discretionary right to defer this payment without interest if conditions are not met within 20 days, creating a payment dependency and potential funding gap for the supplier.</w:t>
            </w:r>
          </w:p>
        </w:tc>
        <w:tc>
          <w:tcPr>
            <w:tcW w:type="dxa" w:w="1440"/>
          </w:tcPr>
          <w:p>
            <w:r>
              <w:t>Ensure 45 percent advance is payable as a single lump sum within five business days of PO acknowledgement without conditional tranches.</w:t>
            </w:r>
          </w:p>
        </w:tc>
      </w:tr>
      <w:tr>
        <w:tc>
          <w:tcPr>
            <w:tcW w:type="dxa" w:w="1440"/>
          </w:tcPr>
          <w:p>
            <w:r>
              <w:t>Payment Terms</w:t>
            </w:r>
          </w:p>
        </w:tc>
        <w:tc>
          <w:tcPr>
            <w:tcW w:type="dxa" w:w="1440"/>
          </w:tcPr>
          <w:p>
            <w:r>
              <w:t>All payments Net 30 days from invoice</w:t>
            </w:r>
          </w:p>
        </w:tc>
        <w:tc>
          <w:tcPr>
            <w:tcW w:type="dxa" w:w="1440"/>
          </w:tcPr>
          <w:p>
            <w:r>
              <w:t>Amber</w:t>
            </w:r>
          </w:p>
        </w:tc>
        <w:tc>
          <w:tcPr>
            <w:tcW w:type="dxa" w:w="1440"/>
          </w:tcPr>
          <w:p>
            <w:r>
              <w:t>Cash-flow and payment delay risk</w:t>
            </w:r>
          </w:p>
        </w:tc>
        <w:tc>
          <w:tcPr>
            <w:tcW w:type="dxa" w:w="1440"/>
          </w:tcPr>
          <w:p>
            <w:r>
              <w:t>The contract conditions the start of the 30-day payment period on internal buyer administrative processes, including goods receipt and inspection. This creates a dependency where payment is decoupled from the invoice date, potentially extending the payment cycle indefinitely based on the buyers internal processing speed.</w:t>
            </w:r>
          </w:p>
        </w:tc>
        <w:tc>
          <w:tcPr>
            <w:tcW w:type="dxa" w:w="1440"/>
          </w:tcPr>
          <w:p>
            <w:r>
              <w:t>Set payment terms to Net 30 days from invoice receipt and remove dependencies on internal buyer acceptance records.</w:t>
            </w:r>
          </w:p>
        </w:tc>
      </w:tr>
      <w:tr>
        <w:tc>
          <w:tcPr>
            <w:tcW w:type="dxa" w:w="1440"/>
          </w:tcPr>
          <w:p>
            <w:r>
              <w:t>Bank Guarantees</w:t>
            </w:r>
          </w:p>
        </w:tc>
        <w:tc>
          <w:tcPr>
            <w:tcW w:type="dxa" w:w="1440"/>
          </w:tcPr>
          <w:p>
            <w:r>
              <w:t>Performance Guarantee not exceeding 10%</w:t>
            </w:r>
          </w:p>
        </w:tc>
        <w:tc>
          <w:tcPr>
            <w:tcW w:type="dxa" w:w="1440"/>
          </w:tcPr>
          <w:p>
            <w:r>
              <w:t>Red</w:t>
            </w:r>
          </w:p>
        </w:tc>
        <w:tc>
          <w:tcPr>
            <w:tcW w:type="dxa" w:w="1440"/>
          </w:tcPr>
          <w:p>
            <w:r>
              <w:t>Financial exposure and guarantee risk</w:t>
            </w:r>
          </w:p>
        </w:tc>
        <w:tc>
          <w:tcPr>
            <w:tcW w:type="dxa" w:w="1440"/>
          </w:tcPr>
          <w:p>
            <w:r>
              <w:t>The total security obligation is 12 percent of the Purchase Order value, which exceeds the 10 percent limit. The inclusion of a 2 percent bridge guarantee in addition to the 10 percent performance bank guarantee creates a breach of the procurement requirement and increases the financial burden on the supplier.</w:t>
            </w:r>
          </w:p>
        </w:tc>
        <w:tc>
          <w:tcPr>
            <w:tcW w:type="dxa" w:w="1440"/>
          </w:tcPr>
          <w:p>
            <w:r>
              <w:t>Reduce total performance security to a maximum of 10 percent including bridge guarantees.</w:t>
            </w:r>
          </w:p>
        </w:tc>
      </w:tr>
      <w:tr>
        <w:tc>
          <w:tcPr>
            <w:tcW w:type="dxa" w:w="1440"/>
          </w:tcPr>
          <w:p>
            <w:r>
              <w:t>Liquidated Damages</w:t>
            </w:r>
          </w:p>
        </w:tc>
        <w:tc>
          <w:tcPr>
            <w:tcW w:type="dxa" w:w="1440"/>
          </w:tcPr>
          <w:p>
            <w:r>
              <w:t>Documentation LD not applicable</w:t>
            </w:r>
          </w:p>
        </w:tc>
        <w:tc>
          <w:tcPr>
            <w:tcW w:type="dxa" w:w="1440"/>
          </w:tcPr>
          <w:p>
            <w:r>
              <w:t>Amber</w:t>
            </w:r>
          </w:p>
        </w:tc>
        <w:tc>
          <w:tcPr>
            <w:tcW w:type="dxa" w:w="1440"/>
          </w:tcPr>
          <w:p>
            <w:r>
              <w:t>Financial exposure due to limited liquidated damages recovery</w:t>
            </w:r>
          </w:p>
        </w:tc>
        <w:tc>
          <w:tcPr>
            <w:tcW w:type="dxa" w:w="1440"/>
          </w:tcPr>
          <w:p>
            <w:r>
              <w:t>The clause excludes standalone liquidated damages for routine manuals, vendor data books, and non-critical engineering submittals. This creates a gap where delays in documentation do not trigger financial penalties unless they specifically prevent FAT release. Consequently, the buyer suffers operational delays without the ability to recover monetary damages for non-critical documentation failures.</w:t>
            </w:r>
          </w:p>
        </w:tc>
        <w:tc>
          <w:tcPr>
            <w:tcW w:type="dxa" w:w="1440"/>
          </w:tcPr>
          <w:p>
            <w:r>
              <w:t>Remove the exclusion for routine manuals and non-critical engineering submittals to ensure all documentation delays attract applicable liquidated damages.</w:t>
            </w:r>
          </w:p>
        </w:tc>
      </w:tr>
      <w:tr>
        <w:tc>
          <w:tcPr>
            <w:tcW w:type="dxa" w:w="1440"/>
          </w:tcPr>
          <w:p>
            <w:r>
              <w:t>Liquidated Damages</w:t>
            </w:r>
          </w:p>
        </w:tc>
        <w:tc>
          <w:tcPr>
            <w:tcW w:type="dxa" w:w="1440"/>
          </w:tcPr>
          <w:p>
            <w:r>
              <w:t>Equipment Delivery LD 0.5% per week</w:t>
            </w:r>
          </w:p>
        </w:tc>
        <w:tc>
          <w:tcPr>
            <w:tcW w:type="dxa" w:w="1440"/>
          </w:tcPr>
          <w:p>
            <w:r>
              <w:t>Amber</w:t>
            </w:r>
          </w:p>
        </w:tc>
        <w:tc>
          <w:tcPr>
            <w:tcW w:type="dxa" w:w="1440"/>
          </w:tcPr>
          <w:p>
            <w:r>
              <w:t>Financial exposure due to capped liquidated damages</w:t>
            </w:r>
          </w:p>
        </w:tc>
        <w:tc>
          <w:tcPr>
            <w:tcW w:type="dxa" w:w="1440"/>
          </w:tcPr>
          <w:p>
            <w:r>
              <w:t>Clause 00511.5.2 limits delivery LD to 5 percent of the undelivered part value and Clause 00511.5.4 caps aggregate exposure at 7.5 percent of PO value. These limitations restrict the total amount the Buyer can recover for delays, potentially leaving the Buyer under-compensated for extended schedule slippage.</w:t>
            </w:r>
          </w:p>
        </w:tc>
        <w:tc>
          <w:tcPr>
            <w:tcW w:type="dxa" w:w="1440"/>
          </w:tcPr>
          <w:p>
            <w:r>
              <w:t>Remove the 5 percent cap on individual undelivered parts and increase the aggregate delay exposure cap.</w:t>
            </w:r>
          </w:p>
        </w:tc>
      </w:tr>
      <w:tr>
        <w:tc>
          <w:tcPr>
            <w:tcW w:type="dxa" w:w="1440"/>
          </w:tcPr>
          <w:p>
            <w:r>
              <w:t>Liquidated Damages</w:t>
            </w:r>
          </w:p>
        </w:tc>
        <w:tc>
          <w:tcPr>
            <w:tcW w:type="dxa" w:w="1440"/>
          </w:tcPr>
          <w:p>
            <w:r>
              <w:t>Equipment Delivery LD capped at 5%</w:t>
            </w:r>
          </w:p>
        </w:tc>
        <w:tc>
          <w:tcPr>
            <w:tcW w:type="dxa" w:w="1440"/>
          </w:tcPr>
          <w:p>
            <w:r>
              <w:t>Amber</w:t>
            </w:r>
          </w:p>
        </w:tc>
        <w:tc>
          <w:tcPr>
            <w:tcW w:type="dxa" w:w="1440"/>
          </w:tcPr>
          <w:p>
            <w:r>
              <w:t>Financial exposure due to excessive aggregate liquidated damages cap</w:t>
            </w:r>
          </w:p>
        </w:tc>
        <w:tc>
          <w:tcPr>
            <w:tcW w:type="dxa" w:w="1440"/>
          </w:tcPr>
          <w:p>
            <w:r>
              <w:t>While individual equipment delivery LD is capped at 5 percent, Clause 00511.5.4 establishes an aggregate cap of 7.5 percent of the total Purchase Order value. This exceeds the 5 percent requirement, increasing the total financial liability the supplier may incur for combined delivery delays, critical document failures, and service credits.</w:t>
            </w:r>
          </w:p>
        </w:tc>
        <w:tc>
          <w:tcPr>
            <w:tcW w:type="dxa" w:w="1440"/>
          </w:tcPr>
          <w:p>
            <w:r>
              <w:t>Reduce aggregate delay exposure, including delivery LD and service credits, to a maximum of 5 percent of total Purchase Order value.</w:t>
            </w:r>
          </w:p>
        </w:tc>
      </w:tr>
      <w:tr>
        <w:tc>
          <w:tcPr>
            <w:tcW w:type="dxa" w:w="1440"/>
          </w:tcPr>
          <w:p>
            <w:r>
              <w:t>Liquidated Damages</w:t>
            </w:r>
          </w:p>
        </w:tc>
        <w:tc>
          <w:tcPr>
            <w:tcW w:type="dxa" w:w="1440"/>
          </w:tcPr>
          <w:p>
            <w:r>
              <w:t>Aggregate LD capped at 5% PO value</w:t>
            </w:r>
          </w:p>
        </w:tc>
        <w:tc>
          <w:tcPr>
            <w:tcW w:type="dxa" w:w="1440"/>
          </w:tcPr>
          <w:p>
            <w:r>
              <w:t>Red</w:t>
            </w:r>
          </w:p>
        </w:tc>
        <w:tc>
          <w:tcPr>
            <w:tcW w:type="dxa" w:w="1440"/>
          </w:tcPr>
          <w:p>
            <w:r>
              <w:t>Financial liability exposure</w:t>
            </w:r>
          </w:p>
        </w:tc>
        <w:tc>
          <w:tcPr>
            <w:tcW w:type="dxa" w:w="1440"/>
          </w:tcPr>
          <w:p>
            <w:r>
              <w:t>The aggregate cap for liquidated damages is set at 7.5 percent of the total Purchase Order value, which exceeds the mandatory 5 percent requirement. This increases the potential financial penalty for delivery delays and service credits beyond the approved risk threshold.</w:t>
            </w:r>
          </w:p>
        </w:tc>
        <w:tc>
          <w:tcPr>
            <w:tcW w:type="dxa" w:w="1440"/>
          </w:tcPr>
          <w:p>
            <w:r>
              <w:t>Reduce aggregate LD and service-credit exposure to a maximum of 5 percent of total PO value.</w:t>
            </w:r>
          </w:p>
        </w:tc>
      </w:tr>
      <w:tr>
        <w:tc>
          <w:tcPr>
            <w:tcW w:type="dxa" w:w="1440"/>
          </w:tcPr>
          <w:p>
            <w:r>
              <w:t>Liquidated Damages</w:t>
            </w:r>
          </w:p>
        </w:tc>
        <w:tc>
          <w:tcPr>
            <w:tcW w:type="dxa" w:w="1440"/>
          </w:tcPr>
          <w:p>
            <w:r>
              <w:t>Remedial Work LD not applicable</w:t>
            </w:r>
          </w:p>
        </w:tc>
        <w:tc>
          <w:tcPr>
            <w:tcW w:type="dxa" w:w="1440"/>
          </w:tcPr>
          <w:p>
            <w:r>
              <w:t>Amber</w:t>
            </w:r>
          </w:p>
        </w:tc>
        <w:tc>
          <w:tcPr>
            <w:tcW w:type="dxa" w:w="1440"/>
          </w:tcPr>
          <w:p>
            <w:r>
              <w:t>Financial exposure due to lack of remedial work liquidated damages</w:t>
            </w:r>
          </w:p>
        </w:tc>
        <w:tc>
          <w:tcPr>
            <w:tcW w:type="dxa" w:w="1440"/>
          </w:tcPr>
          <w:p>
            <w:r>
              <w:t>Clause 00511.5.3 explicitly exempts remedial work, warranty repairs, and replacements from monetary liquidated damages. This removes financial leverage to ensure timely corrective actions, shifting the operational burden and potential project delay costs to the buyer.</w:t>
            </w:r>
          </w:p>
        </w:tc>
        <w:tc>
          <w:tcPr>
            <w:tcW w:type="dxa" w:w="1440"/>
          </w:tcPr>
          <w:p>
            <w:r>
              <w:t>Apply liquidated damages to remedial work and warranty repairs to ensure timely performance of corrective actions.</w:t>
            </w:r>
          </w:p>
        </w:tc>
      </w:tr>
      <w:tr>
        <w:tc>
          <w:tcPr>
            <w:tcW w:type="dxa" w:w="1440"/>
          </w:tcPr>
          <w:p>
            <w:r>
              <w:t>Guarantee</w:t>
            </w:r>
          </w:p>
        </w:tc>
        <w:tc>
          <w:tcPr>
            <w:tcW w:type="dxa" w:w="1440"/>
          </w:tcPr>
          <w:p>
            <w:r>
              <w:t>Warranty period defined</w:t>
            </w:r>
          </w:p>
        </w:tc>
        <w:tc>
          <w:tcPr>
            <w:tcW w:type="dxa" w:w="1440"/>
          </w:tcPr>
          <w:p>
            <w:r>
              <w:t>Amber</w:t>
            </w:r>
          </w:p>
        </w:tc>
        <w:tc>
          <w:tcPr>
            <w:tcW w:type="dxa" w:w="1440"/>
          </w:tcPr>
          <w:p>
            <w:r>
              <w:t>Warranty risk and limited remedial coverage</w:t>
            </w:r>
          </w:p>
        </w:tc>
        <w:tc>
          <w:tcPr>
            <w:tcW w:type="dxa" w:w="1440"/>
          </w:tcPr>
          <w:p>
            <w:r>
              <w:t>The warranty is limited to two months post-commissioning or eighteen months from dispatch. Remedial guarantees for replaced components are capped at eighteen months from original dispatch, potentially leaving equipment without coverage if repairs occur late in the original warranty period. This creates a gap in operational protection and financial exposure for premature equipment failure.</w:t>
            </w:r>
          </w:p>
        </w:tc>
        <w:tc>
          <w:tcPr>
            <w:tcW w:type="dxa" w:w="1440"/>
          </w:tcPr>
          <w:p>
            <w:r>
              <w:t>Extend standard guarantee to twelve months post-commissioning and ensure remedial guarantees run for a full twelve months regardless of the original dispatch date.</w:t>
            </w:r>
          </w:p>
        </w:tc>
      </w:tr>
      <w:tr>
        <w:tc>
          <w:tcPr>
            <w:tcW w:type="dxa" w:w="1440"/>
          </w:tcPr>
          <w:p>
            <w:r>
              <w:t>Guarantee</w:t>
            </w:r>
          </w:p>
        </w:tc>
        <w:tc>
          <w:tcPr>
            <w:tcW w:type="dxa" w:w="1440"/>
          </w:tcPr>
          <w:p>
            <w:r>
              <w:t>2 months from commissioning or 18 months from dispatch</w:t>
            </w:r>
          </w:p>
        </w:tc>
        <w:tc>
          <w:tcPr>
            <w:tcW w:type="dxa" w:w="1440"/>
          </w:tcPr>
          <w:p>
            <w:r>
              <w:t>Amber</w:t>
            </w:r>
          </w:p>
        </w:tc>
        <w:tc>
          <w:tcPr>
            <w:tcW w:type="dxa" w:w="1440"/>
          </w:tcPr>
          <w:p>
            <w:r>
              <w:t>Warranty risk and limited remedial protection</w:t>
            </w:r>
          </w:p>
        </w:tc>
        <w:tc>
          <w:tcPr>
            <w:tcW w:type="dxa" w:w="1440"/>
          </w:tcPr>
          <w:p>
            <w:r>
              <w:t>The remedial guarantee is limited to the specific repaired component and expires at 18 months from original dispatch. This creates a gap where replaced parts may lose coverage shortly after repair if the original dispatch date was long ago, reducing overall equipment reliability and increasing maintenance costs.</w:t>
            </w:r>
          </w:p>
        </w:tc>
        <w:tc>
          <w:tcPr>
            <w:tcW w:type="dxa" w:w="1440"/>
          </w:tcPr>
          <w:p>
            <w:r>
              <w:t>Ensure repaired or replaced components are guaranteed for 12 months from completion of repair regardless of the original dispatch date.</w:t>
            </w:r>
          </w:p>
        </w:tc>
      </w:tr>
      <w:tr>
        <w:tc>
          <w:tcPr>
            <w:tcW w:type="dxa" w:w="1440"/>
          </w:tcPr>
          <w:p>
            <w:r>
              <w:t>Guarantee</w:t>
            </w:r>
          </w:p>
        </w:tc>
        <w:tc>
          <w:tcPr>
            <w:tcW w:type="dxa" w:w="1440"/>
          </w:tcPr>
          <w:p>
            <w:r>
              <w:t>Repair/replacement warranty obligations defined</w:t>
            </w:r>
          </w:p>
        </w:tc>
        <w:tc>
          <w:tcPr>
            <w:tcW w:type="dxa" w:w="1440"/>
          </w:tcPr>
          <w:p>
            <w:r>
              <w:t>Amber</w:t>
            </w:r>
          </w:p>
        </w:tc>
        <w:tc>
          <w:tcPr>
            <w:tcW w:type="dxa" w:w="1440"/>
          </w:tcPr>
          <w:p>
            <w:r>
              <w:t>Warranty risk and limited guarantee coverage</w:t>
            </w:r>
          </w:p>
        </w:tc>
        <w:tc>
          <w:tcPr>
            <w:tcW w:type="dxa" w:w="1440"/>
          </w:tcPr>
          <w:p>
            <w:r>
              <w:t>The remedial guarantee is limited to whichever occurs earlier between twelve months from repair or eighteen months from original dispatch. This creates a gap where repaired components may have negligible remaining coverage if the original equipment was dispatched long before the repair occurred.</w:t>
            </w:r>
          </w:p>
        </w:tc>
        <w:tc>
          <w:tcPr>
            <w:tcW w:type="dxa" w:w="1440"/>
          </w:tcPr>
          <w:p>
            <w:r>
              <w:t>Define repair and replacement warranties to run for a full twelve months from the date of completion regardless of the original dispatch date.</w:t>
            </w:r>
          </w:p>
        </w:tc>
      </w:tr>
      <w:tr>
        <w:tc>
          <w:tcPr>
            <w:tcW w:type="dxa" w:w="1440"/>
          </w:tcPr>
          <w:p>
            <w:r>
              <w:t>Force Majeure</w:t>
            </w:r>
          </w:p>
        </w:tc>
        <w:tc>
          <w:tcPr>
            <w:tcW w:type="dxa" w:w="1440"/>
          </w:tcPr>
          <w:p>
            <w:r>
              <w:t>Force majeure events defined</w:t>
            </w:r>
          </w:p>
        </w:tc>
        <w:tc>
          <w:tcPr>
            <w:tcW w:type="dxa" w:w="1440"/>
          </w:tcPr>
          <w:p>
            <w:r>
              <w:t>Amber</w:t>
            </w:r>
          </w:p>
        </w:tc>
        <w:tc>
          <w:tcPr>
            <w:tcW w:type="dxa" w:w="1440"/>
          </w:tcPr>
          <w:p>
            <w:r>
              <w:t>Force majeure limitations</w:t>
            </w:r>
          </w:p>
        </w:tc>
        <w:tc>
          <w:tcPr>
            <w:tcW w:type="dxa" w:w="1440"/>
          </w:tcPr>
          <w:p>
            <w:r>
              <w:t>Relief for supply-chain disruptions is restricted solely to named Tier-1 sub-suppliers in Annex D and the approved international logistics carrier. This excludes unnamed sub-contractors and alternate vendors, creating operational and financial exposure if failures occur outside this narrow list despite the event being beyond the suppliers control.</w:t>
            </w:r>
          </w:p>
        </w:tc>
        <w:tc>
          <w:tcPr>
            <w:tcW w:type="dxa" w:w="1440"/>
          </w:tcPr>
          <w:p>
            <w:r>
              <w:t>Extend force majeure relief to all sub-contractors and vendors regardless of their naming in Annex D or Tier-1 status.</w:t>
            </w:r>
          </w:p>
        </w:tc>
      </w:tr>
      <w:tr>
        <w:tc>
          <w:tcPr>
            <w:tcW w:type="dxa" w:w="1440"/>
          </w:tcPr>
          <w:p>
            <w:r>
              <w:t>Force Majeure</w:t>
            </w:r>
          </w:p>
        </w:tc>
        <w:tc>
          <w:tcPr>
            <w:tcW w:type="dxa" w:w="1440"/>
          </w:tcPr>
          <w:p>
            <w:r>
              <w:t>Applies to subcontractors</w:t>
            </w:r>
          </w:p>
        </w:tc>
        <w:tc>
          <w:tcPr>
            <w:tcW w:type="dxa" w:w="1440"/>
          </w:tcPr>
          <w:p>
            <w:r>
              <w:t>Amber</w:t>
            </w:r>
          </w:p>
        </w:tc>
        <w:tc>
          <w:tcPr>
            <w:tcW w:type="dxa" w:w="1440"/>
          </w:tcPr>
          <w:p>
            <w:r>
              <w:t>Force majeure limitations</w:t>
            </w:r>
          </w:p>
        </w:tc>
        <w:tc>
          <w:tcPr>
            <w:tcW w:type="dxa" w:w="1440"/>
          </w:tcPr>
          <w:p>
            <w:r>
              <w:t>Relief for supply-chain disruptions is restricted to named Tier-1 suppliers and a specific logistics carrier. This excludes unnamed subcontractors and alternate vendors, creating a performance gap where the supplier remains liable for delays caused by critical sub-tier failures not listed in Annex D.</w:t>
            </w:r>
          </w:p>
        </w:tc>
        <w:tc>
          <w:tcPr>
            <w:tcW w:type="dxa" w:w="1440"/>
          </w:tcPr>
          <w:p>
            <w:r>
              <w:t>Extend force majeure relief to all subcontractors regardless of tier or naming in Annex D.</w:t>
            </w:r>
          </w:p>
        </w:tc>
      </w:tr>
      <w:tr>
        <w:tc>
          <w:tcPr>
            <w:tcW w:type="dxa" w:w="1440"/>
          </w:tcPr>
          <w:p>
            <w:r>
              <w:t>Force Majeure</w:t>
            </w:r>
          </w:p>
        </w:tc>
        <w:tc>
          <w:tcPr>
            <w:tcW w:type="dxa" w:w="1440"/>
          </w:tcPr>
          <w:p>
            <w:r>
              <w:t>Notice obligations defined</w:t>
            </w:r>
          </w:p>
        </w:tc>
        <w:tc>
          <w:tcPr>
            <w:tcW w:type="dxa" w:w="1440"/>
          </w:tcPr>
          <w:p>
            <w:r>
              <w:t>Amber</w:t>
            </w:r>
          </w:p>
        </w:tc>
        <w:tc>
          <w:tcPr>
            <w:tcW w:type="dxa" w:w="1440"/>
          </w:tcPr>
          <w:p>
            <w:r>
              <w:t>force majeure limitations</w:t>
            </w:r>
          </w:p>
        </w:tc>
        <w:tc>
          <w:tcPr>
            <w:tcW w:type="dxa" w:w="1440"/>
          </w:tcPr>
          <w:p>
            <w:r>
              <w:t>Relief for supply chain disruptions is restricted exclusively to named Tier-1 sub-suppliers in Annex D and the approved logistics carrier. This creates operational and legal exposure as the Supplier cannot claim relief for disruptions caused by unnamed subcontractors or alternate vendors, potentially leading to breach of contract despite events beyond their reasonable control.</w:t>
            </w:r>
          </w:p>
        </w:tc>
        <w:tc>
          <w:tcPr>
            <w:tcW w:type="dxa" w:w="1440"/>
          </w:tcPr>
          <w:p>
            <w:r>
              <w:t>Expand force majeure relief to include all subcontractors and logistics providers regardless of whether they are named in Annex D.</w:t>
            </w:r>
          </w:p>
        </w:tc>
      </w:tr>
      <w:tr>
        <w:tc>
          <w:tcPr>
            <w:tcW w:type="dxa" w:w="1440"/>
          </w:tcPr>
          <w:p>
            <w:r>
              <w:t>Termination</w:t>
            </w:r>
          </w:p>
        </w:tc>
        <w:tc>
          <w:tcPr>
            <w:tcW w:type="dxa" w:w="1440"/>
          </w:tcPr>
          <w:p>
            <w:r>
              <w:t>Termination rights defined</w:t>
            </w:r>
          </w:p>
        </w:tc>
        <w:tc>
          <w:tcPr>
            <w:tcW w:type="dxa" w:w="1440"/>
          </w:tcPr>
          <w:p>
            <w:r>
              <w:t>Green</w:t>
            </w:r>
          </w:p>
        </w:tc>
        <w:tc>
          <w:tcPr>
            <w:tcW w:type="dxa" w:w="1440"/>
          </w:tcPr>
          <w:p>
            <w:r>
              <w:t>Financial exposure due to tiered termination for convenience fees</w:t>
            </w:r>
          </w:p>
        </w:tc>
        <w:tc>
          <w:tcPr>
            <w:tcW w:type="dxa" w:w="1440"/>
          </w:tcPr>
          <w:p>
            <w:r>
              <w:t>While the requirement is met, the clause creates significant financial exposure through a sliding scale of cancellation fees. Costs escalate from 7.5 percent to 100 percent of the undelivered balance based on the timing of the cancellation, resulting in substantial cash-flow leakage if orders are terminated for convenience.</w:t>
            </w:r>
          </w:p>
        </w:tc>
        <w:tc>
          <w:tcPr>
            <w:tcW w:type="dxa" w:w="1440"/>
          </w:tcPr>
          <w:p>
            <w:r>
              <w:t>Reduce cancellation fee percentages and implement a maximum aggregate cap on convenience termination payments.</w:t>
            </w:r>
          </w:p>
        </w:tc>
      </w:tr>
      <w:tr>
        <w:tc>
          <w:tcPr>
            <w:tcW w:type="dxa" w:w="1440"/>
          </w:tcPr>
          <w:p>
            <w:r>
              <w:t>Termination</w:t>
            </w:r>
          </w:p>
        </w:tc>
        <w:tc>
          <w:tcPr>
            <w:tcW w:type="dxa" w:w="1440"/>
          </w:tcPr>
          <w:p>
            <w:r>
              <w:t>Cancellation fee structure defined</w:t>
            </w:r>
          </w:p>
        </w:tc>
        <w:tc>
          <w:tcPr>
            <w:tcW w:type="dxa" w:w="1440"/>
          </w:tcPr>
          <w:p>
            <w:r>
              <w:t>Green</w:t>
            </w:r>
          </w:p>
        </w:tc>
        <w:tc>
          <w:tcPr>
            <w:tcW w:type="dxa" w:w="1440"/>
          </w:tcPr>
          <w:p>
            <w:r>
              <w:t>Termination exposure and financial liability</w:t>
            </w:r>
          </w:p>
        </w:tc>
        <w:tc>
          <w:tcPr>
            <w:tcW w:type="dxa" w:w="1440"/>
          </w:tcPr>
          <w:p>
            <w:r>
              <w:t>The sliding scale creates escalating financial liability for convenience cancellations, reaching 100 percent of the undelivered balance after 181 days. This creates significant cash-flow risk and financial exposure depending on the timing of the cancellation.</w:t>
            </w:r>
          </w:p>
        </w:tc>
        <w:tc>
          <w:tcPr>
            <w:tcW w:type="dxa" w:w="1440"/>
          </w:tcPr>
          <w:p>
            <w:r>
              <w:t>Reduce cancellation fee percentages and implement a maximum aggregate cap on total convenience termination fees.</w:t>
            </w:r>
          </w:p>
        </w:tc>
      </w:tr>
      <w:tr>
        <w:tc>
          <w:tcPr>
            <w:tcW w:type="dxa" w:w="1440"/>
          </w:tcPr>
          <w:p>
            <w:r>
              <w:t>Termination</w:t>
            </w:r>
          </w:p>
        </w:tc>
        <w:tc>
          <w:tcPr>
            <w:tcW w:type="dxa" w:w="1440"/>
          </w:tcPr>
          <w:p>
            <w:r>
              <w:t>61-90 day cancellation fee 40%</w:t>
            </w:r>
          </w:p>
        </w:tc>
        <w:tc>
          <w:tcPr>
            <w:tcW w:type="dxa" w:w="1440"/>
          </w:tcPr>
          <w:p>
            <w:r>
              <w:t>Red</w:t>
            </w:r>
          </w:p>
        </w:tc>
        <w:tc>
          <w:tcPr>
            <w:tcW w:type="dxa" w:w="1440"/>
          </w:tcPr>
          <w:p>
            <w:r>
              <w:t>Termination exposure and financial exposure</w:t>
            </w:r>
          </w:p>
        </w:tc>
        <w:tc>
          <w:tcPr>
            <w:tcW w:type="dxa" w:w="1440"/>
          </w:tcPr>
          <w:p>
            <w:r>
              <w:t>The contract stipulates a 38% cancellation fee for the 61-90 day window, which is lower than the required 40%. This creates a discrepancy between the corporate compliance standard and the actual contractual obligation, resulting in a failure to secure the mandated fee percentage from the supplier.</w:t>
            </w:r>
          </w:p>
        </w:tc>
        <w:tc>
          <w:tcPr>
            <w:tcW w:type="dxa" w:w="1440"/>
          </w:tcPr>
          <w:p>
            <w:r>
              <w:t>Increase the convenience cancellation fee for the 61-90 day window to 40 percent of the order value.</w:t>
            </w:r>
          </w:p>
        </w:tc>
      </w:tr>
      <w:tr>
        <w:tc>
          <w:tcPr>
            <w:tcW w:type="dxa" w:w="1440"/>
          </w:tcPr>
          <w:p>
            <w:r>
              <w:t>Suspension</w:t>
            </w:r>
          </w:p>
        </w:tc>
        <w:tc>
          <w:tcPr>
            <w:tcW w:type="dxa" w:w="1440"/>
          </w:tcPr>
          <w:p>
            <w:r>
              <w:t>Maximum 2 suspensions and 30 days aggregate</w:t>
            </w:r>
          </w:p>
        </w:tc>
        <w:tc>
          <w:tcPr>
            <w:tcW w:type="dxa" w:w="1440"/>
          </w:tcPr>
          <w:p>
            <w:r>
              <w:t>Amber</w:t>
            </w:r>
          </w:p>
        </w:tc>
        <w:tc>
          <w:tcPr>
            <w:tcW w:type="dxa" w:w="1440"/>
          </w:tcPr>
          <w:p>
            <w:r>
              <w:t>Suspension risks and financial exposure</w:t>
            </w:r>
          </w:p>
        </w:tc>
        <w:tc>
          <w:tcPr>
            <w:tcW w:type="dxa" w:w="1440"/>
          </w:tcPr>
          <w:p>
            <w:r>
              <w:t>The exclusion of regulatory, government, legal, and safety stoppages from the suspension limits allows the Buyer to pause work indefinitely without triggering the compensable change order protections defined in clause 00511.10.2. This creates uncapped operational delays and unrecoverable costs for the Supplier.</w:t>
            </w:r>
          </w:p>
        </w:tc>
        <w:tc>
          <w:tcPr>
            <w:tcW w:type="dxa" w:w="1440"/>
          </w:tcPr>
          <w:p>
            <w:r>
              <w:t>Remove exclusions for regulatory, government, legal, and safety stoppages to include all suspension types within the two-time and thirty-day aggregate limit.</w:t>
            </w:r>
          </w:p>
        </w:tc>
      </w:tr>
      <w:tr>
        <w:tc>
          <w:tcPr>
            <w:tcW w:type="dxa" w:w="1440"/>
          </w:tcPr>
          <w:p>
            <w:r>
              <w:t>Suspension</w:t>
            </w:r>
          </w:p>
        </w:tc>
        <w:tc>
          <w:tcPr>
            <w:tcW w:type="dxa" w:w="1440"/>
          </w:tcPr>
          <w:p>
            <w:r>
              <w:t>Supplier obligations during suspension defined</w:t>
            </w:r>
          </w:p>
        </w:tc>
        <w:tc>
          <w:tcPr>
            <w:tcW w:type="dxa" w:w="1440"/>
          </w:tcPr>
          <w:p>
            <w:r>
              <w:t>Green</w:t>
            </w:r>
          </w:p>
        </w:tc>
        <w:tc>
          <w:tcPr>
            <w:tcW w:type="dxa" w:w="1440"/>
          </w:tcPr>
          <w:p>
            <w:r>
              <w:t>Suspension and operational costs exposure</w:t>
            </w:r>
          </w:p>
        </w:tc>
        <w:tc>
          <w:tcPr>
            <w:tcW w:type="dxa" w:w="1440"/>
          </w:tcPr>
          <w:p>
            <w:r>
              <w:t>The clause allows Buyer to suspend work for commercial convenience. While limits exist, the Supplier only receives compensation for periods exceeding the limit. This creates a financial gap where the first two suspensions up to 30 days are non-compensable, potentially causing unrecovered operational and idling costs.</w:t>
            </w:r>
          </w:p>
        </w:tc>
        <w:tc>
          <w:tcPr>
            <w:tcW w:type="dxa" w:w="1440"/>
          </w:tcPr>
          <w:p>
            <w:r>
              <w:t>Ensure all commercial-convenience suspensions are compensable from day one regardless of frequency or aggregate duration.</w:t>
            </w:r>
          </w:p>
        </w:tc>
      </w:tr>
      <w:tr>
        <w:tc>
          <w:tcPr>
            <w:tcW w:type="dxa" w:w="1440"/>
          </w:tcPr>
          <w:p>
            <w:r>
              <w:t>Governing Law</w:t>
            </w:r>
          </w:p>
        </w:tc>
        <w:tc>
          <w:tcPr>
            <w:tcW w:type="dxa" w:w="1440"/>
          </w:tcPr>
          <w:p>
            <w:r>
              <w:t>Applicable law specified</w:t>
            </w:r>
          </w:p>
        </w:tc>
        <w:tc>
          <w:tcPr>
            <w:tcW w:type="dxa" w:w="1440"/>
          </w:tcPr>
          <w:p>
            <w:r>
              <w:t>Amber</w:t>
            </w:r>
          </w:p>
        </w:tc>
        <w:tc>
          <w:tcPr>
            <w:tcW w:type="dxa" w:w="1440"/>
          </w:tcPr>
          <w:p>
            <w:r>
              <w:t>Legal exposure and arbitration complexity</w:t>
            </w:r>
          </w:p>
        </w:tc>
        <w:tc>
          <w:tcPr>
            <w:tcW w:type="dxa" w:w="1440"/>
          </w:tcPr>
          <w:p>
            <w:r>
              <w:t>The governing law is India, but dispute resolution is split between Singapore arbitration and Mumbai courts. This fragmented jurisdiction creates legal exposure and operational constraints through carve-outs for specific disputes and technical experts, increasing the risk of conflicting rulings and increased litigation costs.</w:t>
            </w:r>
          </w:p>
        </w:tc>
        <w:tc>
          <w:tcPr>
            <w:tcW w:type="dxa" w:w="1440"/>
          </w:tcPr>
          <w:p>
            <w:r>
              <w:t>Align governing law and arbitration seat to a single jurisdiction and remove carve-outs for technical experts and specific court proceedings.</w:t>
            </w:r>
          </w:p>
        </w:tc>
      </w:tr>
      <w:tr>
        <w:tc>
          <w:tcPr>
            <w:tcW w:type="dxa" w:w="1440"/>
          </w:tcPr>
          <w:p>
            <w:r>
              <w:t>Dispute Resolution</w:t>
            </w:r>
          </w:p>
        </w:tc>
        <w:tc>
          <w:tcPr>
            <w:tcW w:type="dxa" w:w="1440"/>
          </w:tcPr>
          <w:p>
            <w:r>
              <w:t>Arbitration mechanism defined</w:t>
            </w:r>
          </w:p>
        </w:tc>
        <w:tc>
          <w:tcPr>
            <w:tcW w:type="dxa" w:w="1440"/>
          </w:tcPr>
          <w:p>
            <w:r>
              <w:t>Green</w:t>
            </w:r>
          </w:p>
        </w:tc>
        <w:tc>
          <w:tcPr>
            <w:tcW w:type="dxa" w:w="1440"/>
          </w:tcPr>
          <w:p>
            <w:r>
              <w:t>Arbitration limitations</w:t>
            </w:r>
          </w:p>
        </w:tc>
        <w:tc>
          <w:tcPr>
            <w:tcW w:type="dxa" w:w="1440"/>
          </w:tcPr>
          <w:p>
            <w:r>
              <w:t>The dispute resolution mechanism is conditional, requiring a preliminary technical expert referral in Mumbai for methodology disputes before proceeding to Singapore arbitration. This multi-tiered dependency creates a procedural hurdle and potential delay in accessing final legal remedy.</w:t>
            </w:r>
          </w:p>
        </w:tc>
        <w:tc>
          <w:tcPr>
            <w:tcW w:type="dxa" w:w="1440"/>
          </w:tcPr>
          <w:p>
            <w:r>
              <w:t>Establish direct access to Singapore arbitration for all disputes regardless of technical nature.</w:t>
            </w:r>
          </w:p>
        </w:tc>
      </w:tr>
      <w:tr>
        <w:tc>
          <w:tcPr>
            <w:tcW w:type="dxa" w:w="1440"/>
          </w:tcPr>
          <w:p>
            <w:r>
              <w:t>Dispute Resolution</w:t>
            </w:r>
          </w:p>
        </w:tc>
        <w:tc>
          <w:tcPr>
            <w:tcW w:type="dxa" w:w="1440"/>
          </w:tcPr>
          <w:p>
            <w:r>
              <w:t>Seat of arbitration specified</w:t>
            </w:r>
          </w:p>
        </w:tc>
        <w:tc>
          <w:tcPr>
            <w:tcW w:type="dxa" w:w="1440"/>
          </w:tcPr>
          <w:p>
            <w:r>
              <w:t>Green</w:t>
            </w:r>
          </w:p>
        </w:tc>
        <w:tc>
          <w:tcPr>
            <w:tcW w:type="dxa" w:w="1440"/>
          </w:tcPr>
          <w:p>
            <w:r>
              <w:t>Arbitration limitations and operational constraints</w:t>
            </w:r>
          </w:p>
        </w:tc>
        <w:tc>
          <w:tcPr>
            <w:tcW w:type="dxa" w:w="1440"/>
          </w:tcPr>
          <w:p>
            <w:r>
              <w:t>The clause mandates a tiered dispute process where laboratory test methodology disputes must first be referred to a technical expert in Mumbai. This creates a dependency and a procedural carve-out that delays access to Singapore arbitration, increasing legal exposure and prolonging the resolution of technical disputes.</w:t>
            </w:r>
          </w:p>
        </w:tc>
        <w:tc>
          <w:tcPr>
            <w:tcW w:type="dxa" w:w="1440"/>
          </w:tcPr>
          <w:p>
            <w:r>
              <w:t>Remove the requirement for technical expert referral in Mumbai and specify Singapore as the sole seat of arbitration for all disputes.</w:t>
            </w:r>
          </w:p>
        </w:tc>
      </w:tr>
      <w:tr>
        <w:tc>
          <w:tcPr>
            <w:tcW w:type="dxa" w:w="1440"/>
          </w:tcPr>
          <w:p>
            <w:r>
              <w:t>Liability</w:t>
            </w:r>
          </w:p>
        </w:tc>
        <w:tc>
          <w:tcPr>
            <w:tcW w:type="dxa" w:w="1440"/>
          </w:tcPr>
          <w:p>
            <w:r>
              <w:t>Liability carve-outs defined</w:t>
            </w:r>
          </w:p>
        </w:tc>
        <w:tc>
          <w:tcPr>
            <w:tcW w:type="dxa" w:w="1440"/>
          </w:tcPr>
          <w:p>
            <w:r>
              <w:t>Amber</w:t>
            </w:r>
          </w:p>
        </w:tc>
        <w:tc>
          <w:tcPr>
            <w:tcW w:type="dxa" w:w="1440"/>
          </w:tcPr>
          <w:p>
            <w:r>
              <w:t>Liability exposure</w:t>
            </w:r>
          </w:p>
        </w:tc>
        <w:tc>
          <w:tcPr>
            <w:tcW w:type="dxa" w:w="1440"/>
          </w:tcPr>
          <w:p>
            <w:r>
              <w:t>The liability cap for defect repairs is limited to 10 percent of PO value. While carve-outs exist for safety shutdowns, other critical defect costs remain capped, creating financial exposure if repair costs exceed the limited aggregate cap.</w:t>
            </w:r>
          </w:p>
        </w:tc>
        <w:tc>
          <w:tcPr>
            <w:tcW w:type="dxa" w:w="1440"/>
          </w:tcPr>
          <w:p>
            <w:r>
              <w:t>Increase the defect liability cap beyond 10 percent of PO value and expand carve-outs to include all critical repair and replacement costs.</w:t>
            </w:r>
          </w:p>
        </w:tc>
      </w:tr>
      <w:tr>
        <w:tc>
          <w:tcPr>
            <w:tcW w:type="dxa" w:w="1440"/>
          </w:tcPr>
          <w:p>
            <w:r>
              <w:t>Consequential Damages</w:t>
            </w:r>
          </w:p>
        </w:tc>
        <w:tc>
          <w:tcPr>
            <w:tcW w:type="dxa" w:w="1440"/>
          </w:tcPr>
          <w:p>
            <w:r>
              <w:t>Consequential damages excluded</w:t>
            </w:r>
          </w:p>
        </w:tc>
        <w:tc>
          <w:tcPr>
            <w:tcW w:type="dxa" w:w="1440"/>
          </w:tcPr>
          <w:p>
            <w:r>
              <w:t>Amber</w:t>
            </w:r>
          </w:p>
        </w:tc>
        <w:tc>
          <w:tcPr>
            <w:tcW w:type="dxa" w:w="1440"/>
          </w:tcPr>
          <w:p>
            <w:r>
              <w:t>Unlimited liability exposure for specific carve-out categories</w:t>
            </w:r>
          </w:p>
        </w:tc>
        <w:tc>
          <w:tcPr>
            <w:tcW w:type="dxa" w:w="1440"/>
          </w:tcPr>
          <w:p>
            <w:r>
              <w:t>Article 00511.15.2 creates broad exceptions to the consequential damages waiver, including confidentiality, indemnity, IP infringement, and gross negligence. This exposes the organization to unlimited claims for loss of profit and revenue despite the general waiver in Article 00511.15.1.</w:t>
            </w:r>
          </w:p>
        </w:tc>
        <w:tc>
          <w:tcPr>
            <w:tcW w:type="dxa" w:w="1440"/>
          </w:tcPr>
          <w:p>
            <w:r>
              <w:t>Remove all carve-outs from the consequential damages waiver to ensure an absolute exclusion of indirect and consequential losses regardless of the cause of action.</w:t>
            </w:r>
          </w:p>
        </w:tc>
      </w:tr>
      <w:tr>
        <w:tc>
          <w:tcPr>
            <w:tcW w:type="dxa" w:w="1440"/>
          </w:tcPr>
          <w:p>
            <w:r>
              <w:t>Consequential Damages</w:t>
            </w:r>
          </w:p>
        </w:tc>
        <w:tc>
          <w:tcPr>
            <w:tcW w:type="dxa" w:w="1440"/>
          </w:tcPr>
          <w:p>
            <w:r>
              <w:t>Exceptions to exclusion defined</w:t>
            </w:r>
          </w:p>
        </w:tc>
        <w:tc>
          <w:tcPr>
            <w:tcW w:type="dxa" w:w="1440"/>
          </w:tcPr>
          <w:p>
            <w:r>
              <w:t>Amber</w:t>
            </w:r>
          </w:p>
        </w:tc>
        <w:tc>
          <w:tcPr>
            <w:tcW w:type="dxa" w:w="1440"/>
          </w:tcPr>
          <w:p>
            <w:r>
              <w:t>Liability exposure</w:t>
            </w:r>
          </w:p>
        </w:tc>
        <w:tc>
          <w:tcPr>
            <w:tcW w:type="dxa" w:w="1440"/>
          </w:tcPr>
          <w:p>
            <w:r>
              <w:t>The exclusion of consequential damages is subject to multiple carve-outs including confidentiality, indemnity, IP infringement, and gross negligence. These exceptions expose the company to uncapped indirect and consequential financial losses if any of these trigger events occur, bypassing the standard liability protections.</w:t>
            </w:r>
          </w:p>
        </w:tc>
        <w:tc>
          <w:tcPr>
            <w:tcW w:type="dxa" w:w="1440"/>
          </w:tcPr>
          <w:p>
            <w:r>
              <w:t>Remove broad carve-outs and subject all exceptions to a defined aggregate liability cap.</w:t>
            </w:r>
          </w:p>
        </w:tc>
      </w:tr>
    </w:tbl>
    <w:p>
      <w:r>
        <w:br w:type="page"/>
      </w:r>
    </w:p>
    <w:p>
      <w:pPr>
        <w:pStyle w:val="Heading2"/>
      </w:pPr>
      <w:r>
        <w:t>Table 3 - Mitigation Checklist</w:t>
      </w:r>
    </w:p>
    <w:tbl>
      <w:tblPr>
        <w:tblStyle w:val="TableGrid"/>
        <w:tblW w:type="auto" w:w="0"/>
        <w:tblLook w:firstColumn="1" w:firstRow="1" w:lastColumn="0" w:lastRow="0" w:noHBand="0" w:noVBand="1" w:val="04A0"/>
      </w:tblPr>
      <w:tblGrid>
        <w:gridCol w:w="2880"/>
        <w:gridCol w:w="2880"/>
        <w:gridCol w:w="2880"/>
      </w:tblGrid>
      <w:tr>
        <w:tc>
          <w:tcPr>
            <w:tcW w:type="dxa" w:w="2880"/>
          </w:tcPr>
          <w:p>
            <w:r>
              <w:t>Clause</w:t>
            </w:r>
          </w:p>
        </w:tc>
        <w:tc>
          <w:tcPr>
            <w:tcW w:type="dxa" w:w="2880"/>
          </w:tcPr>
          <w:p>
            <w:r>
              <w:t>Risk</w:t>
            </w:r>
          </w:p>
        </w:tc>
        <w:tc>
          <w:tcPr>
            <w:tcW w:type="dxa" w:w="2880"/>
          </w:tcPr>
          <w:p>
            <w:r>
              <w:t>Mitigation Recommendation</w:t>
            </w:r>
          </w:p>
        </w:tc>
      </w:tr>
      <w:tr>
        <w:tc>
          <w:tcPr>
            <w:tcW w:type="dxa" w:w="2880"/>
          </w:tcPr>
          <w:p>
            <w:r>
              <w:t>Payment Terms</w:t>
            </w:r>
          </w:p>
        </w:tc>
        <w:tc>
          <w:tcPr>
            <w:tcW w:type="dxa" w:w="2880"/>
          </w:tcPr>
          <w:p>
            <w:r>
              <w:t>45% Minimum Advance</w:t>
            </w:r>
          </w:p>
        </w:tc>
        <w:tc>
          <w:tcPr>
            <w:tcW w:type="dxa" w:w="2880"/>
          </w:tcPr>
          <w:p>
            <w:r>
              <w:t>Ensure 45 percent advance is payable as a single lump sum within five business days of PO acknowledgement without conditional tranches.</w:t>
            </w:r>
          </w:p>
        </w:tc>
      </w:tr>
      <w:tr>
        <w:tc>
          <w:tcPr>
            <w:tcW w:type="dxa" w:w="2880"/>
          </w:tcPr>
          <w:p>
            <w:r>
              <w:t>Payment Terms</w:t>
            </w:r>
          </w:p>
        </w:tc>
        <w:tc>
          <w:tcPr>
            <w:tcW w:type="dxa" w:w="2880"/>
          </w:tcPr>
          <w:p>
            <w:r>
              <w:t>All payments Net 30 days from invoice</w:t>
            </w:r>
          </w:p>
        </w:tc>
        <w:tc>
          <w:tcPr>
            <w:tcW w:type="dxa" w:w="2880"/>
          </w:tcPr>
          <w:p>
            <w:r>
              <w:t>Set payment terms to Net 30 days from invoice receipt and remove dependencies on internal buyer acceptance records.</w:t>
            </w:r>
          </w:p>
        </w:tc>
      </w:tr>
      <w:tr>
        <w:tc>
          <w:tcPr>
            <w:tcW w:type="dxa" w:w="2880"/>
          </w:tcPr>
          <w:p>
            <w:r>
              <w:t>Bank Guarantees</w:t>
            </w:r>
          </w:p>
        </w:tc>
        <w:tc>
          <w:tcPr>
            <w:tcW w:type="dxa" w:w="2880"/>
          </w:tcPr>
          <w:p>
            <w:r>
              <w:t>Performance Guarantee not exceeding 10%</w:t>
            </w:r>
          </w:p>
        </w:tc>
        <w:tc>
          <w:tcPr>
            <w:tcW w:type="dxa" w:w="2880"/>
          </w:tcPr>
          <w:p>
            <w:r>
              <w:t>Reduce total performance security to a maximum of 10 percent including bridge guarantees.</w:t>
            </w:r>
          </w:p>
        </w:tc>
      </w:tr>
      <w:tr>
        <w:tc>
          <w:tcPr>
            <w:tcW w:type="dxa" w:w="2880"/>
          </w:tcPr>
          <w:p>
            <w:r>
              <w:t>Liquidated Damages</w:t>
            </w:r>
          </w:p>
        </w:tc>
        <w:tc>
          <w:tcPr>
            <w:tcW w:type="dxa" w:w="2880"/>
          </w:tcPr>
          <w:p>
            <w:r>
              <w:t>Documentation LD not applicable</w:t>
            </w:r>
          </w:p>
        </w:tc>
        <w:tc>
          <w:tcPr>
            <w:tcW w:type="dxa" w:w="2880"/>
          </w:tcPr>
          <w:p>
            <w:r>
              <w:t>Remove the exclusion for routine manuals and non-critical engineering submittals to ensure all documentation delays attract applicable liquidated damages.</w:t>
            </w:r>
          </w:p>
        </w:tc>
      </w:tr>
      <w:tr>
        <w:tc>
          <w:tcPr>
            <w:tcW w:type="dxa" w:w="2880"/>
          </w:tcPr>
          <w:p>
            <w:r>
              <w:t>Liquidated Damages</w:t>
            </w:r>
          </w:p>
        </w:tc>
        <w:tc>
          <w:tcPr>
            <w:tcW w:type="dxa" w:w="2880"/>
          </w:tcPr>
          <w:p>
            <w:r>
              <w:t>Equipment Delivery LD 0.5% per week</w:t>
            </w:r>
          </w:p>
        </w:tc>
        <w:tc>
          <w:tcPr>
            <w:tcW w:type="dxa" w:w="2880"/>
          </w:tcPr>
          <w:p>
            <w:r>
              <w:t>Remove the 5 percent cap on individual undelivered parts and increase the aggregate delay exposure cap.</w:t>
            </w:r>
          </w:p>
        </w:tc>
      </w:tr>
      <w:tr>
        <w:tc>
          <w:tcPr>
            <w:tcW w:type="dxa" w:w="2880"/>
          </w:tcPr>
          <w:p>
            <w:r>
              <w:t>Liquidated Damages</w:t>
            </w:r>
          </w:p>
        </w:tc>
        <w:tc>
          <w:tcPr>
            <w:tcW w:type="dxa" w:w="2880"/>
          </w:tcPr>
          <w:p>
            <w:r>
              <w:t>Equipment Delivery LD capped at 5%</w:t>
            </w:r>
          </w:p>
        </w:tc>
        <w:tc>
          <w:tcPr>
            <w:tcW w:type="dxa" w:w="2880"/>
          </w:tcPr>
          <w:p>
            <w:r>
              <w:t>Reduce aggregate delay exposure, including delivery LD and service credits, to a maximum of 5 percent of total Purchase Order value.</w:t>
            </w:r>
          </w:p>
        </w:tc>
      </w:tr>
      <w:tr>
        <w:tc>
          <w:tcPr>
            <w:tcW w:type="dxa" w:w="2880"/>
          </w:tcPr>
          <w:p>
            <w:r>
              <w:t>Liquidated Damages</w:t>
            </w:r>
          </w:p>
        </w:tc>
        <w:tc>
          <w:tcPr>
            <w:tcW w:type="dxa" w:w="2880"/>
          </w:tcPr>
          <w:p>
            <w:r>
              <w:t>Aggregate LD capped at 5% PO value</w:t>
            </w:r>
          </w:p>
        </w:tc>
        <w:tc>
          <w:tcPr>
            <w:tcW w:type="dxa" w:w="2880"/>
          </w:tcPr>
          <w:p>
            <w:r>
              <w:t>Reduce aggregate LD and service-credit exposure to a maximum of 5 percent of total PO value.</w:t>
            </w:r>
          </w:p>
        </w:tc>
      </w:tr>
      <w:tr>
        <w:tc>
          <w:tcPr>
            <w:tcW w:type="dxa" w:w="2880"/>
          </w:tcPr>
          <w:p>
            <w:r>
              <w:t>Liquidated Damages</w:t>
            </w:r>
          </w:p>
        </w:tc>
        <w:tc>
          <w:tcPr>
            <w:tcW w:type="dxa" w:w="2880"/>
          </w:tcPr>
          <w:p>
            <w:r>
              <w:t>Remedial Work LD not applicable</w:t>
            </w:r>
          </w:p>
        </w:tc>
        <w:tc>
          <w:tcPr>
            <w:tcW w:type="dxa" w:w="2880"/>
          </w:tcPr>
          <w:p>
            <w:r>
              <w:t>Apply liquidated damages to remedial work and warranty repairs to ensure timely performance of corrective actions.</w:t>
            </w:r>
          </w:p>
        </w:tc>
      </w:tr>
      <w:tr>
        <w:tc>
          <w:tcPr>
            <w:tcW w:type="dxa" w:w="2880"/>
          </w:tcPr>
          <w:p>
            <w:r>
              <w:t>Guarantee</w:t>
            </w:r>
          </w:p>
        </w:tc>
        <w:tc>
          <w:tcPr>
            <w:tcW w:type="dxa" w:w="2880"/>
          </w:tcPr>
          <w:p>
            <w:r>
              <w:t>Warranty period defined</w:t>
            </w:r>
          </w:p>
        </w:tc>
        <w:tc>
          <w:tcPr>
            <w:tcW w:type="dxa" w:w="2880"/>
          </w:tcPr>
          <w:p>
            <w:r>
              <w:t>Extend standard guarantee to twelve months post-commissioning and ensure remedial guarantees run for a full twelve months regardless of the original dispatch date.</w:t>
            </w:r>
          </w:p>
        </w:tc>
      </w:tr>
      <w:tr>
        <w:tc>
          <w:tcPr>
            <w:tcW w:type="dxa" w:w="2880"/>
          </w:tcPr>
          <w:p>
            <w:r>
              <w:t>Guarantee</w:t>
            </w:r>
          </w:p>
        </w:tc>
        <w:tc>
          <w:tcPr>
            <w:tcW w:type="dxa" w:w="2880"/>
          </w:tcPr>
          <w:p>
            <w:r>
              <w:t>2 months from commissioning or 18 months from dispatch</w:t>
            </w:r>
          </w:p>
        </w:tc>
        <w:tc>
          <w:tcPr>
            <w:tcW w:type="dxa" w:w="2880"/>
          </w:tcPr>
          <w:p>
            <w:r>
              <w:t>Ensure repaired or replaced components are guaranteed for 12 months from completion of repair regardless of the original dispatch date.</w:t>
            </w:r>
          </w:p>
        </w:tc>
      </w:tr>
      <w:tr>
        <w:tc>
          <w:tcPr>
            <w:tcW w:type="dxa" w:w="2880"/>
          </w:tcPr>
          <w:p>
            <w:r>
              <w:t>Guarantee</w:t>
            </w:r>
          </w:p>
        </w:tc>
        <w:tc>
          <w:tcPr>
            <w:tcW w:type="dxa" w:w="2880"/>
          </w:tcPr>
          <w:p>
            <w:r>
              <w:t>Repair/replacement warranty obligations defined</w:t>
            </w:r>
          </w:p>
        </w:tc>
        <w:tc>
          <w:tcPr>
            <w:tcW w:type="dxa" w:w="2880"/>
          </w:tcPr>
          <w:p>
            <w:r>
              <w:t>Define repair and replacement warranties to run for a full twelve months from the date of completion regardless of the original dispatch date.</w:t>
            </w:r>
          </w:p>
        </w:tc>
      </w:tr>
      <w:tr>
        <w:tc>
          <w:tcPr>
            <w:tcW w:type="dxa" w:w="2880"/>
          </w:tcPr>
          <w:p>
            <w:r>
              <w:t>Force Majeure</w:t>
            </w:r>
          </w:p>
        </w:tc>
        <w:tc>
          <w:tcPr>
            <w:tcW w:type="dxa" w:w="2880"/>
          </w:tcPr>
          <w:p>
            <w:r>
              <w:t>Force majeure events defined</w:t>
            </w:r>
          </w:p>
        </w:tc>
        <w:tc>
          <w:tcPr>
            <w:tcW w:type="dxa" w:w="2880"/>
          </w:tcPr>
          <w:p>
            <w:r>
              <w:t>Extend force majeure relief to all sub-contractors and vendors regardless of their naming in Annex D or Tier-1 status.</w:t>
            </w:r>
          </w:p>
        </w:tc>
      </w:tr>
      <w:tr>
        <w:tc>
          <w:tcPr>
            <w:tcW w:type="dxa" w:w="2880"/>
          </w:tcPr>
          <w:p>
            <w:r>
              <w:t>Force Majeure</w:t>
            </w:r>
          </w:p>
        </w:tc>
        <w:tc>
          <w:tcPr>
            <w:tcW w:type="dxa" w:w="2880"/>
          </w:tcPr>
          <w:p>
            <w:r>
              <w:t>Applies to subcontractors</w:t>
            </w:r>
          </w:p>
        </w:tc>
        <w:tc>
          <w:tcPr>
            <w:tcW w:type="dxa" w:w="2880"/>
          </w:tcPr>
          <w:p>
            <w:r>
              <w:t>Extend force majeure relief to all subcontractors regardless of tier or naming in Annex D.</w:t>
            </w:r>
          </w:p>
        </w:tc>
      </w:tr>
      <w:tr>
        <w:tc>
          <w:tcPr>
            <w:tcW w:type="dxa" w:w="2880"/>
          </w:tcPr>
          <w:p>
            <w:r>
              <w:t>Force Majeure</w:t>
            </w:r>
          </w:p>
        </w:tc>
        <w:tc>
          <w:tcPr>
            <w:tcW w:type="dxa" w:w="2880"/>
          </w:tcPr>
          <w:p>
            <w:r>
              <w:t>Notice obligations defined</w:t>
            </w:r>
          </w:p>
        </w:tc>
        <w:tc>
          <w:tcPr>
            <w:tcW w:type="dxa" w:w="2880"/>
          </w:tcPr>
          <w:p>
            <w:r>
              <w:t>Expand force majeure relief to include all subcontractors and logistics providers regardless of whether they are named in Annex D.</w:t>
            </w:r>
          </w:p>
        </w:tc>
      </w:tr>
      <w:tr>
        <w:tc>
          <w:tcPr>
            <w:tcW w:type="dxa" w:w="2880"/>
          </w:tcPr>
          <w:p>
            <w:r>
              <w:t>Termination</w:t>
            </w:r>
          </w:p>
        </w:tc>
        <w:tc>
          <w:tcPr>
            <w:tcW w:type="dxa" w:w="2880"/>
          </w:tcPr>
          <w:p>
            <w:r>
              <w:t>Termination rights defined</w:t>
            </w:r>
          </w:p>
        </w:tc>
        <w:tc>
          <w:tcPr>
            <w:tcW w:type="dxa" w:w="2880"/>
          </w:tcPr>
          <w:p>
            <w:r>
              <w:t>Reduce cancellation fee percentages and implement a maximum aggregate cap on convenience termination payments.</w:t>
            </w:r>
          </w:p>
        </w:tc>
      </w:tr>
      <w:tr>
        <w:tc>
          <w:tcPr>
            <w:tcW w:type="dxa" w:w="2880"/>
          </w:tcPr>
          <w:p>
            <w:r>
              <w:t>Termination</w:t>
            </w:r>
          </w:p>
        </w:tc>
        <w:tc>
          <w:tcPr>
            <w:tcW w:type="dxa" w:w="2880"/>
          </w:tcPr>
          <w:p>
            <w:r>
              <w:t>Cancellation fee structure defined</w:t>
            </w:r>
          </w:p>
        </w:tc>
        <w:tc>
          <w:tcPr>
            <w:tcW w:type="dxa" w:w="2880"/>
          </w:tcPr>
          <w:p>
            <w:r>
              <w:t>Reduce cancellation fee percentages and implement a maximum aggregate cap on total convenience termination fees.</w:t>
            </w:r>
          </w:p>
        </w:tc>
      </w:tr>
      <w:tr>
        <w:tc>
          <w:tcPr>
            <w:tcW w:type="dxa" w:w="2880"/>
          </w:tcPr>
          <w:p>
            <w:r>
              <w:t>Termination</w:t>
            </w:r>
          </w:p>
        </w:tc>
        <w:tc>
          <w:tcPr>
            <w:tcW w:type="dxa" w:w="2880"/>
          </w:tcPr>
          <w:p>
            <w:r>
              <w:t>61-90 day cancellation fee 40%</w:t>
            </w:r>
          </w:p>
        </w:tc>
        <w:tc>
          <w:tcPr>
            <w:tcW w:type="dxa" w:w="2880"/>
          </w:tcPr>
          <w:p>
            <w:r>
              <w:t>Increase the convenience cancellation fee for the 61-90 day window to 40 percent of the order value.</w:t>
            </w:r>
          </w:p>
        </w:tc>
      </w:tr>
      <w:tr>
        <w:tc>
          <w:tcPr>
            <w:tcW w:type="dxa" w:w="2880"/>
          </w:tcPr>
          <w:p>
            <w:r>
              <w:t>Suspension</w:t>
            </w:r>
          </w:p>
        </w:tc>
        <w:tc>
          <w:tcPr>
            <w:tcW w:type="dxa" w:w="2880"/>
          </w:tcPr>
          <w:p>
            <w:r>
              <w:t>Maximum 2 suspensions and 30 days aggregate</w:t>
            </w:r>
          </w:p>
        </w:tc>
        <w:tc>
          <w:tcPr>
            <w:tcW w:type="dxa" w:w="2880"/>
          </w:tcPr>
          <w:p>
            <w:r>
              <w:t>Remove exclusions for regulatory, government, legal, and safety stoppages to include all suspension types within the two-time and thirty-day aggregate limit.</w:t>
            </w:r>
          </w:p>
        </w:tc>
      </w:tr>
      <w:tr>
        <w:tc>
          <w:tcPr>
            <w:tcW w:type="dxa" w:w="2880"/>
          </w:tcPr>
          <w:p>
            <w:r>
              <w:t>Suspension</w:t>
            </w:r>
          </w:p>
        </w:tc>
        <w:tc>
          <w:tcPr>
            <w:tcW w:type="dxa" w:w="2880"/>
          </w:tcPr>
          <w:p>
            <w:r>
              <w:t>Supplier obligations during suspension defined</w:t>
            </w:r>
          </w:p>
        </w:tc>
        <w:tc>
          <w:tcPr>
            <w:tcW w:type="dxa" w:w="2880"/>
          </w:tcPr>
          <w:p>
            <w:r>
              <w:t>Ensure all commercial-convenience suspensions are compensable from day one regardless of frequency or aggregate duration.</w:t>
            </w:r>
          </w:p>
        </w:tc>
      </w:tr>
      <w:tr>
        <w:tc>
          <w:tcPr>
            <w:tcW w:type="dxa" w:w="2880"/>
          </w:tcPr>
          <w:p>
            <w:r>
              <w:t>Governing Law</w:t>
            </w:r>
          </w:p>
        </w:tc>
        <w:tc>
          <w:tcPr>
            <w:tcW w:type="dxa" w:w="2880"/>
          </w:tcPr>
          <w:p>
            <w:r>
              <w:t>Applicable law specified</w:t>
            </w:r>
          </w:p>
        </w:tc>
        <w:tc>
          <w:tcPr>
            <w:tcW w:type="dxa" w:w="2880"/>
          </w:tcPr>
          <w:p>
            <w:r>
              <w:t>Align governing law and arbitration seat to a single jurisdiction and remove carve-outs for technical experts and specific court proceedings.</w:t>
            </w:r>
          </w:p>
        </w:tc>
      </w:tr>
      <w:tr>
        <w:tc>
          <w:tcPr>
            <w:tcW w:type="dxa" w:w="2880"/>
          </w:tcPr>
          <w:p>
            <w:r>
              <w:t>Dispute Resolution</w:t>
            </w:r>
          </w:p>
        </w:tc>
        <w:tc>
          <w:tcPr>
            <w:tcW w:type="dxa" w:w="2880"/>
          </w:tcPr>
          <w:p>
            <w:r>
              <w:t>Arbitration mechanism defined</w:t>
            </w:r>
          </w:p>
        </w:tc>
        <w:tc>
          <w:tcPr>
            <w:tcW w:type="dxa" w:w="2880"/>
          </w:tcPr>
          <w:p>
            <w:r>
              <w:t>Establish direct access to Singapore arbitration for all disputes regardless of technical nature.</w:t>
            </w:r>
          </w:p>
        </w:tc>
      </w:tr>
      <w:tr>
        <w:tc>
          <w:tcPr>
            <w:tcW w:type="dxa" w:w="2880"/>
          </w:tcPr>
          <w:p>
            <w:r>
              <w:t>Dispute Resolution</w:t>
            </w:r>
          </w:p>
        </w:tc>
        <w:tc>
          <w:tcPr>
            <w:tcW w:type="dxa" w:w="2880"/>
          </w:tcPr>
          <w:p>
            <w:r>
              <w:t>Seat of arbitration specified</w:t>
            </w:r>
          </w:p>
        </w:tc>
        <w:tc>
          <w:tcPr>
            <w:tcW w:type="dxa" w:w="2880"/>
          </w:tcPr>
          <w:p>
            <w:r>
              <w:t>Remove the requirement for technical expert referral in Mumbai and specify Singapore as the sole seat of arbitration for all disputes.</w:t>
            </w:r>
          </w:p>
        </w:tc>
      </w:tr>
      <w:tr>
        <w:tc>
          <w:tcPr>
            <w:tcW w:type="dxa" w:w="2880"/>
          </w:tcPr>
          <w:p>
            <w:r>
              <w:t>Liability</w:t>
            </w:r>
          </w:p>
        </w:tc>
        <w:tc>
          <w:tcPr>
            <w:tcW w:type="dxa" w:w="2880"/>
          </w:tcPr>
          <w:p>
            <w:r>
              <w:t>Liability carve-outs defined</w:t>
            </w:r>
          </w:p>
        </w:tc>
        <w:tc>
          <w:tcPr>
            <w:tcW w:type="dxa" w:w="2880"/>
          </w:tcPr>
          <w:p>
            <w:r>
              <w:t>Increase the defect liability cap beyond 10 percent of PO value and expand carve-outs to include all critical repair and replacement costs.</w:t>
            </w:r>
          </w:p>
        </w:tc>
      </w:tr>
      <w:tr>
        <w:tc>
          <w:tcPr>
            <w:tcW w:type="dxa" w:w="2880"/>
          </w:tcPr>
          <w:p>
            <w:r>
              <w:t>Consequential Damages</w:t>
            </w:r>
          </w:p>
        </w:tc>
        <w:tc>
          <w:tcPr>
            <w:tcW w:type="dxa" w:w="2880"/>
          </w:tcPr>
          <w:p>
            <w:r>
              <w:t>Consequential damages excluded</w:t>
            </w:r>
          </w:p>
        </w:tc>
        <w:tc>
          <w:tcPr>
            <w:tcW w:type="dxa" w:w="2880"/>
          </w:tcPr>
          <w:p>
            <w:r>
              <w:t>Remove all carve-outs from the consequential damages waiver to ensure an absolute exclusion of indirect and consequential losses regardless of the cause of action.</w:t>
            </w:r>
          </w:p>
        </w:tc>
      </w:tr>
      <w:tr>
        <w:tc>
          <w:tcPr>
            <w:tcW w:type="dxa" w:w="2880"/>
          </w:tcPr>
          <w:p>
            <w:r>
              <w:t>Consequential Damages</w:t>
            </w:r>
          </w:p>
        </w:tc>
        <w:tc>
          <w:tcPr>
            <w:tcW w:type="dxa" w:w="2880"/>
          </w:tcPr>
          <w:p>
            <w:r>
              <w:t>Exceptions to exclusion defined</w:t>
            </w:r>
          </w:p>
        </w:tc>
        <w:tc>
          <w:tcPr>
            <w:tcW w:type="dxa" w:w="2880"/>
          </w:tcPr>
          <w:p>
            <w:r>
              <w:t>Remove broad carve-outs and subject all exceptions to a defined aggregate liability cap.</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