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Executive Summary</w:t>
      </w:r>
    </w:p>
    <w:p>
      <w:r>
        <w:t>Overall Risk Rating: High Risk</w:t>
      </w:r>
    </w:p>
    <w:p>
      <w:r>
        <w:t>3 high-risk contractual deviations were identified. 17 medium-risk findings require attention. 3 requirements were not met. 17 requirements were only partially satisfied.</w:t>
      </w:r>
    </w:p>
    <w:p>
      <w:pPr>
        <w:pStyle w:val="Heading3"/>
      </w:pPr>
      <w:r>
        <w:t>Key Findings</w:t>
      </w:r>
    </w:p>
    <w:p>
      <w:pPr>
        <w:pStyle w:val="ListBullet"/>
      </w:pPr>
      <w:r>
        <w:t>Delayed payment due to conditional advance tranches.</w:t>
      </w:r>
    </w:p>
    <w:p>
      <w:pPr>
        <w:pStyle w:val="ListBullet"/>
      </w:pPr>
      <w:r>
        <w:t>Supplier exceeds performance security limit due to bridge guarantee.</w:t>
      </w:r>
    </w:p>
    <w:p>
      <w:pPr>
        <w:pStyle w:val="ListBullet"/>
      </w:pPr>
      <w:r>
        <w:t>Potential for significant liquidated damages exposure due to capped limits.</w:t>
      </w:r>
    </w:p>
    <w:p>
      <w:pPr>
        <w:pStyle w:val="ListBullet"/>
      </w:pPr>
      <w:r>
        <w:t>Potential for significant liquidated damages exposure.</w:t>
      </w:r>
    </w:p>
    <w:p>
      <w:pPr>
        <w:pStyle w:val="ListBullet"/>
      </w:pPr>
      <w:r>
        <w:t>Potential for significant liquidated damages exposure due to multiple caps.</w:t>
      </w:r>
    </w:p>
    <w:p>
      <w:pPr>
        <w:pStyle w:val="Heading3"/>
      </w:pPr>
      <w:r>
        <w:t>Recommendation</w:t>
      </w:r>
    </w:p>
    <w:p>
      <w:r>
        <w:t>Contract should undergo detailed legal and commercial review before execution.</w:t>
      </w:r>
    </w:p>
    <w:p>
      <w:r>
        <w:br w:type="page"/>
      </w:r>
    </w:p>
    <w:p>
      <w:pPr>
        <w:pStyle w:val="Heading2"/>
      </w:pPr>
      <w:r>
        <w:t>Table 1 - Compliance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Clause</w:t>
            </w:r>
          </w:p>
        </w:tc>
        <w:tc>
          <w:tcPr>
            <w:tcW w:type="dxa" w:w="2160"/>
          </w:tcPr>
          <w:p>
            <w:r>
              <w:t>Requirement</w:t>
            </w:r>
          </w:p>
        </w:tc>
        <w:tc>
          <w:tcPr>
            <w:tcW w:type="dxa" w:w="2160"/>
          </w:tcPr>
          <w:p>
            <w:r>
              <w:t>Status</w:t>
            </w:r>
          </w:p>
        </w:tc>
        <w:tc>
          <w:tcPr>
            <w:tcW w:type="dxa" w:w="2160"/>
          </w:tcPr>
          <w:p>
            <w:r>
              <w:t>Evidence</w:t>
            </w:r>
          </w:p>
        </w:tc>
      </w:tr>
      <w:tr>
        <w:tc>
          <w:tcPr>
            <w:tcW w:type="dxa" w:w="2160"/>
          </w:tcPr>
          <w:p>
            <w:r>
              <w:t>Payment Terms</w:t>
            </w:r>
          </w:p>
        </w:tc>
        <w:tc>
          <w:tcPr>
            <w:tcW w:type="dxa" w:w="2160"/>
          </w:tcPr>
          <w:p>
            <w:r>
              <w:t>45% Minimum Advance</w:t>
            </w:r>
          </w:p>
        </w:tc>
        <w:tc>
          <w:tcPr>
            <w:tcW w:type="dxa" w:w="2160"/>
          </w:tcPr>
          <w:p>
            <w:r>
              <w:t>Partially Met</w:t>
            </w:r>
          </w:p>
        </w:tc>
        <w:tc>
          <w:tcPr>
            <w:tcW w:type="dxa" w:w="2160"/>
          </w:tcPr>
          <w:p>
            <w:r>
              <w:t>This retention clause is not intended to reduce the agreed advance percentage but can</w:t>
              <w:br/>
              <w:t>affect payment timing.</w:t>
            </w:r>
          </w:p>
        </w:tc>
      </w:tr>
      <w:tr>
        <w:tc>
          <w:tcPr>
            <w:tcW w:type="dxa" w:w="2160"/>
          </w:tcPr>
          <w:p>
            <w:r>
              <w:t>Bank Guarantees</w:t>
            </w:r>
          </w:p>
        </w:tc>
        <w:tc>
          <w:tcPr>
            <w:tcW w:type="dxa" w:w="2160"/>
          </w:tcPr>
          <w:p>
            <w:r>
              <w:t>Performance Guarantee not exceeding 10%</w:t>
            </w:r>
          </w:p>
        </w:tc>
        <w:tc>
          <w:tcPr>
            <w:tcW w:type="dxa" w:w="2160"/>
          </w:tcPr>
          <w:p>
            <w:r>
              <w:t>Not Met</w:t>
            </w:r>
          </w:p>
        </w:tc>
        <w:tc>
          <w:tcPr>
            <w:tcW w:type="dxa" w:w="2160"/>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r>
      <w:tr>
        <w:tc>
          <w:tcPr>
            <w:tcW w:type="dxa" w:w="2160"/>
          </w:tcPr>
          <w:p>
            <w:r>
              <w:t>Bank Guarantees</w:t>
            </w:r>
          </w:p>
        </w:tc>
        <w:tc>
          <w:tcPr>
            <w:tcW w:type="dxa" w:w="2160"/>
          </w:tcPr>
          <w:p>
            <w:r>
              <w:t>Bank Guarantee validity period defined</w:t>
            </w:r>
          </w:p>
        </w:tc>
        <w:tc>
          <w:tcPr>
            <w:tcW w:type="dxa" w:w="2160"/>
          </w:tcPr>
          <w:p>
            <w:r>
              <w:t>Met</w:t>
            </w:r>
          </w:p>
        </w:tc>
        <w:tc>
          <w:tcPr>
            <w:tcW w:type="dxa" w:w="2160"/>
          </w:tcPr>
          <w:p>
            <w:r>
              <w:t>Supplier shall furnish an unconditional performance bank guarantee equal to ten percent (10%)</w:t>
              <w:br/>
              <w:t>of the Purchase Order value, valid until expiry of the standard guarantee period plus ninety (90) days.</w:t>
            </w:r>
          </w:p>
        </w:tc>
      </w:tr>
      <w:tr>
        <w:tc>
          <w:tcPr>
            <w:tcW w:type="dxa" w:w="2160"/>
          </w:tcPr>
          <w:p>
            <w:r>
              <w:t>Liquidated Damages</w:t>
            </w:r>
          </w:p>
        </w:tc>
        <w:tc>
          <w:tcPr>
            <w:tcW w:type="dxa" w:w="2160"/>
          </w:tcPr>
          <w:p>
            <w:r>
              <w:t>Documentation LD not applicable</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0.5% per week</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Equipment Delivery LD capped at 5%</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Aggregate LD capped at 5% PO value</w:t>
            </w:r>
          </w:p>
        </w:tc>
        <w:tc>
          <w:tcPr>
            <w:tcW w:type="dxa" w:w="2160"/>
          </w:tcPr>
          <w:p>
            <w:r>
              <w:t>Not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Liquidated Damages</w:t>
            </w:r>
          </w:p>
        </w:tc>
        <w:tc>
          <w:tcPr>
            <w:tcW w:type="dxa" w:w="2160"/>
          </w:tcPr>
          <w:p>
            <w:r>
              <w:t>Remedial Work LD not applicable</w:t>
            </w:r>
          </w:p>
        </w:tc>
        <w:tc>
          <w:tcPr>
            <w:tcW w:type="dxa" w:w="2160"/>
          </w:tcPr>
          <w:p>
            <w:r>
              <w:t>Partially Met</w:t>
            </w:r>
          </w:p>
        </w:tc>
        <w:tc>
          <w:tcPr>
            <w:tcW w:type="dxa" w:w="2160"/>
          </w:tcPr>
          <w:p>
            <w:r>
              <w:t>For delay in delivery of equipment beyond the contractual delivery date, Supplier shall pay liquidated</w:t>
              <w:br/>
              <w:t>damages at zero point five percent (0.5%) of the value of the undelivered part per completed week of delay.</w:t>
            </w:r>
          </w:p>
        </w:tc>
      </w:tr>
      <w:tr>
        <w:tc>
          <w:tcPr>
            <w:tcW w:type="dxa" w:w="2160"/>
          </w:tcPr>
          <w:p>
            <w:r>
              <w:t>Guarantee</w:t>
            </w:r>
          </w:p>
        </w:tc>
        <w:tc>
          <w:tcPr>
            <w:tcW w:type="dxa" w:w="2160"/>
          </w:tcPr>
          <w:p>
            <w:r>
              <w:t>Warranty period defined</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2 months from commissioning or 18 months from dispatch</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Guarantee</w:t>
            </w:r>
          </w:p>
        </w:tc>
        <w:tc>
          <w:tcPr>
            <w:tcW w:type="dxa" w:w="2160"/>
          </w:tcPr>
          <w:p>
            <w:r>
              <w:t>Repair/replacement warranty obligations defined</w:t>
            </w:r>
          </w:p>
        </w:tc>
        <w:tc>
          <w:tcPr>
            <w:tcW w:type="dxa" w:w="2160"/>
          </w:tcPr>
          <w:p>
            <w:r>
              <w:t>Partially Met</w:t>
            </w:r>
          </w:p>
        </w:tc>
        <w:tc>
          <w:tcPr>
            <w:tcW w:type="dxa" w:w="2160"/>
          </w:tcPr>
          <w:p>
            <w:r>
              <w:t>Any repaired or replaced component shall be guaranteed for twelve (12) months from completion of</w:t>
              <w:br/>
              <w:t>repair or replacement, or until eighteen (18) months from original dispatch of the affected equipment, whichever occurs earlier.</w:t>
            </w:r>
          </w:p>
        </w:tc>
      </w:tr>
      <w:tr>
        <w:tc>
          <w:tcPr>
            <w:tcW w:type="dxa" w:w="2160"/>
          </w:tcPr>
          <w:p>
            <w:r>
              <w:t>Force Majeure</w:t>
            </w:r>
          </w:p>
        </w:tc>
        <w:tc>
          <w:tcPr>
            <w:tcW w:type="dxa" w:w="2160"/>
          </w:tcPr>
          <w:p>
            <w:r>
              <w:t>Force majeure events defined</w:t>
            </w:r>
          </w:p>
        </w:tc>
        <w:tc>
          <w:tcPr>
            <w:tcW w:type="dxa" w:w="2160"/>
          </w:tcPr>
          <w:p>
            <w:r>
              <w:t>Partially Met</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Force Majeure</w:t>
            </w:r>
          </w:p>
        </w:tc>
        <w:tc>
          <w:tcPr>
            <w:tcW w:type="dxa" w:w="2160"/>
          </w:tcPr>
          <w:p>
            <w:r>
              <w:t>Applies to subcontractors</w:t>
            </w:r>
          </w:p>
        </w:tc>
        <w:tc>
          <w:tcPr>
            <w:tcW w:type="dxa" w:w="2160"/>
          </w:tcPr>
          <w:p>
            <w:r>
              <w:t>Partially Met</w:t>
            </w:r>
          </w:p>
        </w:tc>
        <w:tc>
          <w:tcPr>
            <w:tcW w:type="dxa" w:w="2160"/>
          </w:tcPr>
          <w:p>
            <w:r>
              <w:t>Force majeure applies only to named Tier-1 / approved suppliers</w:t>
            </w:r>
          </w:p>
        </w:tc>
      </w:tr>
      <w:tr>
        <w:tc>
          <w:tcPr>
            <w:tcW w:type="dxa" w:w="2160"/>
          </w:tcPr>
          <w:p>
            <w:r>
              <w:t>Force Majeure</w:t>
            </w:r>
          </w:p>
        </w:tc>
        <w:tc>
          <w:tcPr>
            <w:tcW w:type="dxa" w:w="2160"/>
          </w:tcPr>
          <w:p>
            <w:r>
              <w:t>Notice obligations defined</w:t>
            </w:r>
          </w:p>
        </w:tc>
        <w:tc>
          <w:tcPr>
            <w:tcW w:type="dxa" w:w="2160"/>
          </w:tcPr>
          <w:p>
            <w:r>
              <w:t>Partially Met</w:t>
            </w:r>
          </w:p>
        </w:tc>
        <w:tc>
          <w:tcPr>
            <w:tcW w:type="dxa" w:w="2160"/>
          </w:tcPr>
          <w:p>
            <w:r>
              <w:t>Supplier may claim Force Majeure relief for events affecting only the Tier-1 critical sub-suppliers named</w:t>
              <w:br/>
              <w:t>in Annex D or the approved international logistics carrier.</w:t>
            </w:r>
          </w:p>
        </w:tc>
      </w:tr>
      <w:tr>
        <w:tc>
          <w:tcPr>
            <w:tcW w:type="dxa" w:w="2160"/>
          </w:tcPr>
          <w:p>
            <w:r>
              <w:t>Termination</w:t>
            </w:r>
          </w:p>
        </w:tc>
        <w:tc>
          <w:tcPr>
            <w:tcW w:type="dxa" w:w="2160"/>
          </w:tcPr>
          <w:p>
            <w:r>
              <w:t>Termination rights defined</w:t>
            </w:r>
          </w:p>
        </w:tc>
        <w:tc>
          <w:tcPr>
            <w:tcW w:type="dxa" w:w="2160"/>
          </w:tcPr>
          <w:p>
            <w:r>
              <w:t>Met</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Cancellation fee structure defined</w:t>
            </w:r>
          </w:p>
        </w:tc>
        <w:tc>
          <w:tcPr>
            <w:tcW w:type="dxa" w:w="2160"/>
          </w:tcPr>
          <w:p>
            <w:r>
              <w:t>Met</w:t>
            </w:r>
          </w:p>
        </w:tc>
        <w:tc>
          <w:tcPr>
            <w:tcW w:type="dxa" w:w="216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2160"/>
          </w:tcPr>
          <w:p>
            <w:r>
              <w:t>Termination</w:t>
            </w:r>
          </w:p>
        </w:tc>
        <w:tc>
          <w:tcPr>
            <w:tcW w:type="dxa" w:w="2160"/>
          </w:tcPr>
          <w:p>
            <w:r>
              <w:t>61-90 day cancellation fee 40%</w:t>
            </w:r>
          </w:p>
        </w:tc>
        <w:tc>
          <w:tcPr>
            <w:tcW w:type="dxa" w:w="2160"/>
          </w:tcPr>
          <w:p>
            <w:r>
              <w:t>Not Met</w:t>
            </w:r>
          </w:p>
        </w:tc>
        <w:tc>
          <w:tcPr>
            <w:tcW w:type="dxa" w:w="2160"/>
          </w:tcPr>
          <w:p>
            <w:r>
              <w:t>Article 00511.9 - Cancellation and Early Termination Fee</w:t>
            </w:r>
          </w:p>
        </w:tc>
      </w:tr>
      <w:tr>
        <w:tc>
          <w:tcPr>
            <w:tcW w:type="dxa" w:w="2160"/>
          </w:tcPr>
          <w:p>
            <w:r>
              <w:t>Suspension</w:t>
            </w:r>
          </w:p>
        </w:tc>
        <w:tc>
          <w:tcPr>
            <w:tcW w:type="dxa" w:w="2160"/>
          </w:tcPr>
          <w:p>
            <w:r>
              <w:t>Maximum 2 suspensions and 30 days aggregate</w:t>
            </w:r>
          </w:p>
        </w:tc>
        <w:tc>
          <w:tcPr>
            <w:tcW w:type="dxa" w:w="2160"/>
          </w:tcPr>
          <w:p>
            <w:r>
              <w:t>Partially Met</w:t>
            </w:r>
          </w:p>
        </w:tc>
        <w:tc>
          <w:tcPr>
            <w:tcW w:type="dxa" w:w="2160"/>
          </w:tcPr>
          <w:p>
            <w:r>
              <w:t>Suspension limits exclude regulatory, government, legal, and safety stoppages</w:t>
            </w:r>
          </w:p>
        </w:tc>
      </w:tr>
      <w:tr>
        <w:tc>
          <w:tcPr>
            <w:tcW w:type="dxa" w:w="2160"/>
          </w:tcPr>
          <w:p>
            <w:r>
              <w:t>Suspension</w:t>
            </w:r>
          </w:p>
        </w:tc>
        <w:tc>
          <w:tcPr>
            <w:tcW w:type="dxa" w:w="2160"/>
          </w:tcPr>
          <w:p>
            <w:r>
              <w:t>Supplier obligations during suspension defined</w:t>
            </w:r>
          </w:p>
        </w:tc>
        <w:tc>
          <w:tcPr>
            <w:tcW w:type="dxa" w:w="2160"/>
          </w:tcPr>
          <w:p>
            <w:r>
              <w:t>Met</w:t>
            </w:r>
          </w:p>
        </w:tc>
        <w:tc>
          <w:tcPr>
            <w:tcW w:type="dxa" w:w="216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r>
      <w:tr>
        <w:tc>
          <w:tcPr>
            <w:tcW w:type="dxa" w:w="2160"/>
          </w:tcPr>
          <w:p>
            <w:r>
              <w:t>Change Orders</w:t>
            </w:r>
          </w:p>
        </w:tc>
        <w:tc>
          <w:tcPr>
            <w:tcW w:type="dxa" w:w="2160"/>
          </w:tcPr>
          <w:p>
            <w:r>
              <w:t>Formal amendment process defined</w:t>
            </w:r>
          </w:p>
        </w:tc>
        <w:tc>
          <w:tcPr>
            <w:tcW w:type="dxa" w:w="2160"/>
          </w:tcPr>
          <w:p>
            <w:r>
              <w:t>Met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Change Orders</w:t>
            </w:r>
          </w:p>
        </w:tc>
        <w:tc>
          <w:tcPr>
            <w:tcW w:type="dxa" w:w="2160"/>
          </w:tcPr>
          <w:p>
            <w:r>
              <w:t>Timeline for approval defined</w:t>
            </w:r>
          </w:p>
        </w:tc>
        <w:tc>
          <w:tcPr>
            <w:tcW w:type="dxa" w:w="2160"/>
          </w:tcPr>
          <w:p>
            <w:r>
              <w:t>Met</w:t>
            </w:r>
          </w:p>
        </w:tc>
        <w:tc>
          <w:tcPr>
            <w:tcW w:type="dxa" w:w="216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2160"/>
          </w:tcPr>
          <w:p>
            <w:r>
              <w:t>Governing Law</w:t>
            </w:r>
          </w:p>
        </w:tc>
        <w:tc>
          <w:tcPr>
            <w:tcW w:type="dxa" w:w="2160"/>
          </w:tcPr>
          <w:p>
            <w:r>
              <w:t>Applicable law specified</w:t>
            </w:r>
          </w:p>
        </w:tc>
        <w:tc>
          <w:tcPr>
            <w:tcW w:type="dxa" w:w="2160"/>
          </w:tcPr>
          <w:p>
            <w:r>
              <w:t>Partially Met</w:t>
            </w:r>
          </w:p>
        </w:tc>
        <w:tc>
          <w:tcPr>
            <w:tcW w:type="dxa" w:w="2160"/>
          </w:tcPr>
          <w:p>
            <w:r>
              <w:t>This Purchase Order and all non-contractual obligations arising out of or in connection with it shall be</w:t>
              <w:br/>
              <w:t>governed by the laws of India, excluding conflict-of-law principles.</w:t>
            </w:r>
          </w:p>
        </w:tc>
      </w:tr>
      <w:tr>
        <w:tc>
          <w:tcPr>
            <w:tcW w:type="dxa" w:w="2160"/>
          </w:tcPr>
          <w:p>
            <w:r>
              <w:t>Dispute Resolution</w:t>
            </w:r>
          </w:p>
        </w:tc>
        <w:tc>
          <w:tcPr>
            <w:tcW w:type="dxa" w:w="2160"/>
          </w:tcPr>
          <w:p>
            <w:r>
              <w:t>Arbitration mechanism defined</w:t>
            </w:r>
          </w:p>
        </w:tc>
        <w:tc>
          <w:tcPr>
            <w:tcW w:type="dxa" w:w="2160"/>
          </w:tcPr>
          <w:p>
            <w:r>
              <w:t>Met</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Dispute Resolution</w:t>
            </w:r>
          </w:p>
        </w:tc>
        <w:tc>
          <w:tcPr>
            <w:tcW w:type="dxa" w:w="2160"/>
          </w:tcPr>
          <w:p>
            <w:r>
              <w:t>Seat of arbitration specified</w:t>
            </w:r>
          </w:p>
        </w:tc>
        <w:tc>
          <w:tcPr>
            <w:tcW w:type="dxa" w:w="2160"/>
          </w:tcPr>
          <w:p>
            <w:r>
              <w:t>Met</w:t>
            </w:r>
          </w:p>
        </w:tc>
        <w:tc>
          <w:tcPr>
            <w:tcW w:type="dxa" w:w="216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2160"/>
          </w:tcPr>
          <w:p>
            <w:r>
              <w:t>Insurance</w:t>
            </w:r>
          </w:p>
        </w:tc>
        <w:tc>
          <w:tcPr>
            <w:tcW w:type="dxa" w:w="2160"/>
          </w:tcPr>
          <w:p>
            <w:r>
              <w:t>Insurance responsibilities defined</w:t>
            </w:r>
          </w:p>
        </w:tc>
        <w:tc>
          <w:tcPr>
            <w:tcW w:type="dxa" w:w="2160"/>
          </w:tcPr>
          <w:p>
            <w:r>
              <w:t>Met</w:t>
            </w:r>
          </w:p>
        </w:tc>
        <w:tc>
          <w:tcPr>
            <w:tcW w:type="dxa" w:w="2160"/>
          </w:tcPr>
          <w:p>
            <w:r>
              <w:t>Article 00511.4 - Delivery, Readiness, and Storage</w:t>
            </w:r>
          </w:p>
        </w:tc>
      </w:tr>
      <w:tr>
        <w:tc>
          <w:tcPr>
            <w:tcW w:type="dxa" w:w="2160"/>
          </w:tcPr>
          <w:p>
            <w:r>
              <w:t>Insurance</w:t>
            </w:r>
          </w:p>
        </w:tc>
        <w:tc>
          <w:tcPr>
            <w:tcW w:type="dxa" w:w="2160"/>
          </w:tcPr>
          <w:p>
            <w:r>
              <w:t>Equipment damage covered while at buyer premises</w:t>
            </w:r>
          </w:p>
        </w:tc>
        <w:tc>
          <w:tcPr>
            <w:tcW w:type="dxa" w:w="2160"/>
          </w:tcPr>
          <w:p>
            <w:r>
              <w:t>Met</w:t>
            </w:r>
          </w:p>
        </w:tc>
        <w:tc>
          <w:tcPr>
            <w:tcW w:type="dxa" w:w="2160"/>
          </w:tcPr>
          <w:p>
            <w:r>
              <w:t>Storage charges are</w:t>
              <w:br/>
              <w:t>without prejudice to Supplier's right to claim insurance or preservation costs caused by abnormal storage conditions.</w:t>
            </w:r>
          </w:p>
        </w:tc>
      </w:tr>
      <w:tr>
        <w:tc>
          <w:tcPr>
            <w:tcW w:type="dxa" w:w="2160"/>
          </w:tcPr>
          <w:p>
            <w:r>
              <w:t>Liability</w:t>
            </w:r>
          </w:p>
        </w:tc>
        <w:tc>
          <w:tcPr>
            <w:tcW w:type="dxa" w:w="2160"/>
          </w:tcPr>
          <w:p>
            <w:r>
              <w:t>Aggregate liability cap defined</w:t>
            </w:r>
          </w:p>
        </w:tc>
        <w:tc>
          <w:tcPr>
            <w:tcW w:type="dxa" w:w="2160"/>
          </w:tcPr>
          <w:p>
            <w:r>
              <w:t>Met</w:t>
            </w:r>
          </w:p>
        </w:tc>
        <w:tc>
          <w:tcPr>
            <w:tcW w:type="dxa" w:w="2160"/>
          </w:tcPr>
          <w:p>
            <w:r>
              <w:t>Supplier's aggregate liability for repair</w:t>
              <w:br/>
              <w:t>or replacement of defective equipment under this Article shall not exceed ten percent (10%) of the total Purchase Order value.</w:t>
            </w:r>
          </w:p>
        </w:tc>
      </w:tr>
      <w:tr>
        <w:tc>
          <w:tcPr>
            <w:tcW w:type="dxa" w:w="2160"/>
          </w:tcPr>
          <w:p>
            <w:r>
              <w:t>Liability</w:t>
            </w:r>
          </w:p>
        </w:tc>
        <w:tc>
          <w:tcPr>
            <w:tcW w:type="dxa" w:w="2160"/>
          </w:tcPr>
          <w:p>
            <w:r>
              <w:t>Liability carve-outs defined</w:t>
            </w:r>
          </w:p>
        </w:tc>
        <w:tc>
          <w:tcPr>
            <w:tcW w:type="dxa" w:w="2160"/>
          </w:tcPr>
          <w:p>
            <w:r>
              <w:t>Partially Met</w:t>
            </w:r>
          </w:p>
        </w:tc>
        <w:tc>
          <w:tcPr>
            <w:tcW w:type="dxa" w:w="2160"/>
          </w:tcPr>
          <w:p>
            <w:r>
              <w:t>The cap in Article 00511.8.1 does not apply to direct costs of emergency removal, re-installation, or</w:t>
              <w:br/>
              <w:t>temporary site stabilization if the defect creates a safety shutdown.</w:t>
            </w:r>
          </w:p>
        </w:tc>
      </w:tr>
      <w:tr>
        <w:tc>
          <w:tcPr>
            <w:tcW w:type="dxa" w:w="2160"/>
          </w:tcPr>
          <w:p>
            <w:r>
              <w:t>Consequential Damages</w:t>
            </w:r>
          </w:p>
        </w:tc>
        <w:tc>
          <w:tcPr>
            <w:tcW w:type="dxa" w:w="2160"/>
          </w:tcPr>
          <w:p>
            <w:r>
              <w:t>Consequential damages excluded</w:t>
            </w:r>
          </w:p>
        </w:tc>
        <w:tc>
          <w:tcPr>
            <w:tcW w:type="dxa" w:w="2160"/>
          </w:tcPr>
          <w:p>
            <w:r>
              <w:t>Partially Met</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Consequential Damages</w:t>
            </w:r>
          </w:p>
        </w:tc>
        <w:tc>
          <w:tcPr>
            <w:tcW w:type="dxa" w:w="2160"/>
          </w:tcPr>
          <w:p>
            <w:r>
              <w:t>Exceptions to exclusion defined</w:t>
            </w:r>
          </w:p>
        </w:tc>
        <w:tc>
          <w:tcPr>
            <w:tcW w:type="dxa" w:w="2160"/>
          </w:tcPr>
          <w:p>
            <w:r>
              <w:t>Partially Met</w:t>
            </w:r>
          </w:p>
        </w:tc>
        <w:tc>
          <w:tcPr>
            <w:tcW w:type="dxa" w:w="216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r>
      <w:tr>
        <w:tc>
          <w:tcPr>
            <w:tcW w:type="dxa" w:w="2160"/>
          </w:tcPr>
          <w:p>
            <w:r>
              <w:t>Critical Sub-Suppliers</w:t>
            </w:r>
          </w:p>
        </w:tc>
        <w:tc>
          <w:tcPr>
            <w:tcW w:type="dxa" w:w="2160"/>
          </w:tcPr>
          <w:p>
            <w:r>
              <w:t>Approved critical vendors identified</w:t>
            </w:r>
          </w:p>
        </w:tc>
        <w:tc>
          <w:tcPr>
            <w:tcW w:type="dxa" w:w="2160"/>
          </w:tcPr>
          <w:p>
            <w:r>
              <w:t>Met</w:t>
            </w:r>
          </w:p>
        </w:tc>
        <w:tc>
          <w:tcPr>
            <w:tcW w:type="dxa" w:w="2160"/>
          </w:tcPr>
          <w:p>
            <w:r>
              <w:t>Annex D approved critical sub-suppliers: BrightForge Rings Pvt.</w:t>
            </w:r>
          </w:p>
        </w:tc>
      </w:tr>
      <w:tr>
        <w:tc>
          <w:tcPr>
            <w:tcW w:type="dxa" w:w="2160"/>
          </w:tcPr>
          <w:p>
            <w:r>
              <w:t>Critical Sub-Suppliers</w:t>
            </w:r>
          </w:p>
        </w:tc>
        <w:tc>
          <w:tcPr>
            <w:tcW w:type="dxa" w:w="2160"/>
          </w:tcPr>
          <w:p>
            <w:r>
              <w:t>Vendor substitution restrictions defined</w:t>
            </w:r>
          </w:p>
        </w:tc>
        <w:tc>
          <w:tcPr>
            <w:tcW w:type="dxa" w:w="2160"/>
          </w:tcPr>
          <w:p>
            <w:r>
              <w:t>Met</w:t>
            </w:r>
          </w:p>
        </w:tc>
        <w:tc>
          <w:tcPr>
            <w:tcW w:type="dxa" w:w="2160"/>
          </w:tcPr>
          <w:p>
            <w:r>
              <w:t>Annex D approved critical sub-suppliers: BrightForge Rings Pvt.</w:t>
            </w:r>
          </w:p>
        </w:tc>
      </w:tr>
      <w:tr>
        <w:tc>
          <w:tcPr>
            <w:tcW w:type="dxa" w:w="2160"/>
          </w:tcPr>
          <w:p>
            <w:r>
              <w:t>Payment Terms</w:t>
            </w:r>
          </w:p>
        </w:tc>
        <w:tc>
          <w:tcPr>
            <w:tcW w:type="dxa" w:w="2160"/>
          </w:tcPr>
          <w:p>
            <w:r>
              <w:t>All payments Net 30 days from invoice</w:t>
            </w:r>
          </w:p>
        </w:tc>
        <w:tc>
          <w:tcPr>
            <w:tcW w:type="dxa" w:w="2160"/>
          </w:tcPr>
          <w:p>
            <w:r>
              <w:t>Partially Met</w:t>
            </w:r>
          </w:p>
        </w:tc>
        <w:tc>
          <w:tcPr>
            <w:tcW w:type="dxa" w:w="2160"/>
          </w:tcPr>
          <w:p>
            <w:r>
              <w:t>Clause 00511.2.2 states: 'Buyer shall pay accepted invoices within thirty (30) days after receipt of a valid tax invoice.' However, the clause includes exceptions (disputed amounts) and modifies the timing trigger to start from the later acceptance record, not the invoice date.</w:t>
            </w:r>
          </w:p>
        </w:tc>
      </w:tr>
      <w:tr>
        <w:tc>
          <w:tcPr>
            <w:tcW w:type="dxa" w:w="2160"/>
          </w:tcPr>
          <w:p>
            <w:r>
              <w:t>Payment Terms</w:t>
            </w:r>
          </w:p>
        </w:tc>
        <w:tc>
          <w:tcPr>
            <w:tcW w:type="dxa" w:w="2160"/>
          </w:tcPr>
          <w:p>
            <w:r>
              <w:t>Partial delivery and invoicing allowed</w:t>
            </w:r>
          </w:p>
        </w:tc>
        <w:tc>
          <w:tcPr>
            <w:tcW w:type="dxa" w:w="2160"/>
          </w:tcPr>
          <w:p>
            <w:r>
              <w:t>Met</w:t>
            </w:r>
          </w:p>
        </w:tc>
        <w:tc>
          <w:tcPr>
            <w:tcW w:type="dxa" w:w="2160"/>
          </w:tcPr>
          <w:p>
            <w:r>
              <w:t>Clause 00511.2.3 explicitly permits 'Supplier may dispatch Lot A, Lot B, and Lot C separately and may raise a corresponding invoice for each completed lot.'</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Delayed payment due to conditional advance tranches.</w:t>
            </w:r>
          </w:p>
        </w:tc>
        <w:tc>
          <w:tcPr>
            <w:tcW w:type="dxa" w:w="1440"/>
          </w:tcPr>
          <w:p>
            <w:r>
              <w:t>The partially met compliance indicates a risk of delayed payments. The buyer's payment schedule is contingent on multiple conditions (bank guarantee, kick-off minutes, document submission) being satisfied within 20 days. This introduces a potential cash flow disruption for the supplier and operational delays.</w:t>
            </w:r>
          </w:p>
        </w:tc>
        <w:tc>
          <w:tcPr>
            <w:tcW w:type="dxa" w:w="1440"/>
          </w:tcPr>
          <w:p>
            <w:r>
              <w:t>Require simultaneous completion of all acceptance records before advancing second tranche.</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Supplier exceeds performance security limit due to bridge guarantee.</w:t>
            </w:r>
          </w:p>
        </w:tc>
        <w:tc>
          <w:tcPr>
            <w:tcW w:type="dxa" w:w="1440"/>
          </w:tcPr>
          <w:p>
            <w:r>
              <w:t>The Supplier is providing a 2% bridge guarantee in addition to the required 10% performance guarantee, resulting in a total of 12%. This violates the contractual limitation on overall security obligations.  This exposes the Buyer to increased financial risk and potential disputes regarding compliance.</w:t>
            </w:r>
          </w:p>
        </w:tc>
        <w:tc>
          <w:tcPr>
            <w:tcW w:type="dxa" w:w="1440"/>
          </w:tcPr>
          <w:p>
            <w:r>
              <w:t>Reduce total security obligations to 10 percent including any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Potential for significant liquidated damages exposure due to capped limits.</w:t>
            </w:r>
          </w:p>
        </w:tc>
        <w:tc>
          <w:tcPr>
            <w:tcW w:type="dxa" w:w="1440"/>
          </w:tcPr>
          <w:p>
            <w:r>
              <w:t>The clause establishes multiple caps on LD, including a 0.5% weekly rate, a 5% value cap, and a 7.5% aggregate limit. This severely restricts the Buyer's ability to recover costs associated with delivery delays, creating substantial financial risk if delays are prolonged or significant.</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Potential for significant liquidated damages exposure.</w:t>
            </w:r>
          </w:p>
        </w:tc>
        <w:tc>
          <w:tcPr>
            <w:tcW w:type="dxa" w:w="1440"/>
          </w:tcPr>
          <w:p>
            <w:r>
              <w:t>The clause establishes multiple caps on LD, including a 7.5% aggregate cap and individual caps of 5%. This limits the Buyer's ability to fully recover costs associated with delays, creating a substantial financial risk.</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Potential for significant liquidated damages exposure due to multiple caps.</w:t>
            </w:r>
          </w:p>
        </w:tc>
        <w:tc>
          <w:tcPr>
            <w:tcW w:type="dxa" w:w="1440"/>
          </w:tcPr>
          <w:p>
            <w:r>
              <w:t>The clause establishes several overlapping limits: 0.5% per week, a maximum of 5% overall, and a combined aggregate cap of 7.5%. This creates uncertainty regarding the ultimate damage liability, increasing financial risk.</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Supplier may incur excessive liquidated damages exceeding 5% PO value.</w:t>
            </w:r>
          </w:p>
        </w:tc>
        <w:tc>
          <w:tcPr>
            <w:tcW w:type="dxa" w:w="1440"/>
          </w:tcPr>
          <w:p>
            <w:r>
              <w:t>The clause establishes a 7.5% aggregate cap on delivery LD, deemed delays, and service credits, overriding the standard 5% limit. This creates a significant payment risk for the buyer if the combined exposure triggers the higher cap.</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Potential for significant liquidated damages exposure due to aggregate cap.</w:t>
            </w:r>
          </w:p>
        </w:tc>
        <w:tc>
          <w:tcPr>
            <w:tcW w:type="dxa" w:w="1440"/>
          </w:tcPr>
          <w:p>
            <w:r>
              <w:t>The clause establishes a capped LD exposure of 7.5% of the PO value, combining delivery delays, critical dispatch documents, and service credits. This limits the Buyer's ability to manage delay-related costs effectively, particularly if multiple delays occur.</w:t>
            </w:r>
          </w:p>
        </w:tc>
        <w:tc>
          <w:tcPr>
            <w:tcW w:type="dxa" w:w="1440"/>
          </w:tcPr>
          <w:p>
            <w:r>
              <w:t>Reduce aggregate LD and service-credit exposure to a maximum of 5 percent of PO value.</w:t>
            </w:r>
          </w:p>
        </w:tc>
      </w:tr>
      <w:tr>
        <w:tc>
          <w:tcPr>
            <w:tcW w:type="dxa" w:w="1440"/>
          </w:tcPr>
          <w:p>
            <w:r>
              <w:t>Guarantee</w:t>
            </w:r>
          </w:p>
        </w:tc>
        <w:tc>
          <w:tcPr>
            <w:tcW w:type="dxa" w:w="1440"/>
          </w:tcPr>
          <w:p>
            <w:r>
              <w:t>Warranty period defined</w:t>
            </w:r>
          </w:p>
        </w:tc>
        <w:tc>
          <w:tcPr>
            <w:tcW w:type="dxa" w:w="1440"/>
          </w:tcPr>
          <w:p>
            <w:r>
              <w:t>Amber</w:t>
            </w:r>
          </w:p>
        </w:tc>
        <w:tc>
          <w:tcPr>
            <w:tcW w:type="dxa" w:w="1440"/>
          </w:tcPr>
          <w:p>
            <w:r>
              <w:t>Extended guarantee period creates uncertainty regarding future liabilities.</w:t>
            </w:r>
          </w:p>
        </w:tc>
        <w:tc>
          <w:tcPr>
            <w:tcW w:type="dxa" w:w="1440"/>
          </w:tcPr>
          <w:p>
            <w:r>
              <w:t>The clause provides a longer guarantee (18 months) than the standard two-month warranty, increasing potential liability exposure for the supplier. The overlapping timelines introduce complexity and risk assessment challenges related to ongoing maintenance and repairs.</w:t>
            </w:r>
          </w:p>
        </w:tc>
        <w:tc>
          <w:tcPr>
            <w:tcW w:type="dxa" w:w="1440"/>
          </w:tcPr>
          <w:p>
            <w:r>
              <w:t>Reduce standard guarantee period to eighteen (18) months from dispatch.</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Conflicting guarantee periods create uncertainty regarding coverage.</w:t>
            </w:r>
          </w:p>
        </w:tc>
        <w:tc>
          <w:tcPr>
            <w:tcW w:type="dxa" w:w="1440"/>
          </w:tcPr>
          <w:p>
            <w:r>
              <w:t>The clause establishes two distinct guarantee durations – 18 months from dispatch and 12 months from repair completion. This creates ambiguity as to which period applies, increasing the risk of disputes over warranty obligations and potential liability.</w:t>
            </w:r>
          </w:p>
        </w:tc>
        <w:tc>
          <w:tcPr>
            <w:tcW w:type="dxa" w:w="1440"/>
          </w:tcPr>
          <w:p>
            <w:r>
              <w:t>Specify a single, clearly defined guarantee duration aligned with the longest protection period (18 months).</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Reduced guarantee period exposes the buyer to extended repair liabilities.</w:t>
            </w:r>
          </w:p>
        </w:tc>
        <w:tc>
          <w:tcPr>
            <w:tcW w:type="dxa" w:w="1440"/>
          </w:tcPr>
          <w:p>
            <w:r>
              <w:t>The remedial guarantee of twelve months, alongside the eighteen-month original dispatch term, creates uncertainty. The earlier expiry date presents a significant risk for prolonged equipment downtime and associated costs if defects arise after initial commissioning or dispatch.</w:t>
            </w:r>
          </w:p>
        </w:tc>
        <w:tc>
          <w:tcPr>
            <w:tcW w:type="dxa" w:w="1440"/>
          </w:tcPr>
          <w:p>
            <w:r>
              <w:t>Extend the remedial guarantee period to match the standard guarantee at eighteen months from dispatch.</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Supplier may limit Force Majeure to specific Tier-1 vendors.</w:t>
            </w:r>
          </w:p>
        </w:tc>
        <w:tc>
          <w:tcPr>
            <w:tcW w:type="dxa" w:w="1440"/>
          </w:tcPr>
          <w:p>
            <w:r>
              <w:t>The clause restricts Force Majeure relief solely to Tier-1 sub-suppliers and logistics carriers, excluding other impacted parties. This creates a significant risk that the supplier will deny claims related to broader supply chain disruptions or issues with alternative sourcing options, leading to delays and potential breach of contract.</w:t>
            </w:r>
          </w:p>
        </w:tc>
        <w:tc>
          <w:tcPr>
            <w:tcW w:type="dxa" w:w="1440"/>
          </w:tcPr>
          <w:p>
            <w:r>
              <w:t>Expand Force Majeure definition to include all approved suppliers and logistics providers.</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Limited force majeure protection for subcontractors increases disruption risk.</w:t>
            </w:r>
          </w:p>
        </w:tc>
        <w:tc>
          <w:tcPr>
            <w:tcW w:type="dxa" w:w="1440"/>
          </w:tcPr>
          <w:p>
            <w:r>
              <w:t>The clause restricts Force Majeure relief to only named Tier-1 suppliers and approved logistics. This creates a significant exposure if a subcontractor experiences an event triggering Force Majeure, potentially leading to delays, increased costs, or contract termination without adequate support.</w:t>
            </w:r>
          </w:p>
        </w:tc>
        <w:tc>
          <w:tcPr>
            <w:tcW w:type="dxa" w:w="1440"/>
          </w:tcPr>
          <w:p>
            <w:r>
              <w:t>Expand force majeure protection to include all subcontractors within the supply chain as defined in Annex D.</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Limited Force Majeure protection due to restricted scope.</w:t>
            </w:r>
          </w:p>
        </w:tc>
        <w:tc>
          <w:tcPr>
            <w:tcW w:type="dxa" w:w="1440"/>
          </w:tcPr>
          <w:p>
            <w:r>
              <w:t>The clause only covers Tier-1 sub-suppliers and logistics carriers, excluding other potential supply chain disruptions. This creates uncertainty regarding relief eligibility and exposes the buyer to continued performance issues if affected parties experience force majeure events. It reduces the overall protection provided by the clause.</w:t>
            </w:r>
          </w:p>
        </w:tc>
        <w:tc>
          <w:tcPr>
            <w:tcW w:type="dxa" w:w="1440"/>
          </w:tcPr>
          <w:p>
            <w:r>
              <w:t>Expand Force Majeure coverage to include all approved subcontractors and logistics providers identified within supplier's risk management program.</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Delayed payment due to complex termination fee schedule.</w:t>
            </w:r>
          </w:p>
        </w:tc>
        <w:tc>
          <w:tcPr>
            <w:tcW w:type="dxa" w:w="1440"/>
          </w:tcPr>
          <w:p>
            <w:r>
              <w:t>The clause outlines a tiered schedule based on the time of cancellation, creating potential delays and disputes regarding the accurate calculation of the termination fee. This exposes the Buyer to cash-flow risk and potentially significant financial penalties if calculations are contested.</w:t>
            </w:r>
          </w:p>
        </w:tc>
        <w:tc>
          <w:tcPr>
            <w:tcW w:type="dxa" w:w="1440"/>
          </w:tcPr>
          <w:p>
            <w:r>
              <w:t>Implement a standardized process for calculating termination fees, utilizing a clear, simple formula aligned with the schedule.</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Potential for significant cancellation fees based on delayed timing.</w:t>
            </w:r>
          </w:p>
        </w:tc>
        <w:tc>
          <w:tcPr>
            <w:tcW w:type="dxa" w:w="1440"/>
          </w:tcPr>
          <w:p>
            <w:r>
              <w:t>The clause outlines escalating fee percentages tied to the length of time before buyer cancellation. This exposes the supplier to potentially substantial financial penalties, particularly with longer delays, impacting cash flow and profitability. The schedule is complex and could lead to disputes over calculation.</w:t>
            </w:r>
          </w:p>
        </w:tc>
        <w:tc>
          <w:tcPr>
            <w:tcW w:type="dxa" w:w="1440"/>
          </w:tcPr>
          <w:p>
            <w:r>
              <w:t>Implement a clear, expedited process for notifying the Buyer of intent to cancel, minimizing delay triggers.</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Potential for significant early termination fees.</w:t>
            </w:r>
          </w:p>
        </w:tc>
        <w:tc>
          <w:tcPr>
            <w:tcW w:type="dxa" w:w="1440"/>
          </w:tcPr>
          <w:p>
            <w:r>
              <w:t>The supplier failed to meet the required cancellation fee schedule, exposing the buyer to a potentially substantial financial penalty (38%) dependent on the length of the non-convenience cancellation. This creates a direct payment risk.</w:t>
            </w:r>
          </w:p>
        </w:tc>
        <w:tc>
          <w:tcPr>
            <w:tcW w:type="dxa" w:w="1440"/>
          </w:tcPr>
          <w:p>
            <w:r>
              <w:t>Implement strict invoice validation and approval processes to confirm accurate fee calculations at termination.</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Potential for excessive suspension costs and change order claims.</w:t>
            </w:r>
          </w:p>
        </w:tc>
        <w:tc>
          <w:tcPr>
            <w:tcW w:type="dxa" w:w="1440"/>
          </w:tcPr>
          <w:p>
            <w:r>
              <w:t>The clause allows for two commercial convenience suspensions up to 30 days, excluding regulatory stoppages. The 'partially met' status indicates a gap – the exclusion of regulatory stoppages creates uncertainty regarding acceptable suspension durations. This exposes the buyer to potential overruns.</w:t>
            </w:r>
          </w:p>
        </w:tc>
        <w:tc>
          <w:tcPr>
            <w:tcW w:type="dxa" w:w="1440"/>
          </w:tcPr>
          <w:p>
            <w:r>
              <w:t>Explicitly define 'regulatory stoppage' and its impact on suspension limits within the clause.</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Potential for increased costs due to exceeding suspension limits.</w:t>
            </w:r>
          </w:p>
        </w:tc>
        <w:tc>
          <w:tcPr>
            <w:tcW w:type="dxa" w:w="1440"/>
          </w:tcPr>
          <w:p>
            <w:r>
              <w:t>The clause permits up to two commercial convenience suspensions totaling 30 days. Exceeding this limit triggers a compensable change order, potentially leading to schedule extensions and associated cost increases if the supplier does not secure prior written agreement.</w:t>
            </w:r>
          </w:p>
        </w:tc>
        <w:tc>
          <w:tcPr>
            <w:tcW w:type="dxa" w:w="1440"/>
          </w:tcPr>
          <w:p>
            <w:r>
              <w:t>Require written agreement from Supplier before exceeding suspension limits.</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Increased legal uncertainty and potential disputes due to Indian law.</w:t>
            </w:r>
          </w:p>
        </w:tc>
        <w:tc>
          <w:tcPr>
            <w:tcW w:type="dxa" w:w="1440"/>
          </w:tcPr>
          <w:p>
            <w:r>
              <w:t>Governing by India's laws introduces complexities, potentially conflicting with expected international standards. Excluding conflict of law principles exacerbates this risk, offering limited protection against unfavorable interpretations. This could lead to higher legal costs and prolonged resolution times.</w:t>
            </w:r>
          </w:p>
        </w:tc>
        <w:tc>
          <w:tcPr>
            <w:tcW w:type="dxa" w:w="1440"/>
          </w:tcPr>
          <w:p>
            <w:r>
              <w:t>Implement a clause requiring governing law to be [Client's Jurisdiction], excluding conflicts only where legally permissible.</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Potential for increased arbitration costs and delays.</w:t>
            </w:r>
          </w:p>
        </w:tc>
        <w:tc>
          <w:tcPr>
            <w:tcW w:type="dxa" w:w="1440"/>
          </w:tcPr>
          <w:p>
            <w:r>
              <w:t>The tiered dispute resolution process, involving a technical expert followed by arbitration in Singapore, introduces complexity. Delays associated with the Mumbai expert determination could escalate legal expenses and prolong the resolution timeframe, increasing overall project risk.</w:t>
            </w:r>
          </w:p>
        </w:tc>
        <w:tc>
          <w:tcPr>
            <w:tcW w:type="dxa" w:w="1440"/>
          </w:tcPr>
          <w:p>
            <w:r>
              <w:t>Require binding expert determination within 30 days; specify arbitrator selection criteria for Singapore arbitration.</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seat limitation increases jurisdictional risk.</w:t>
            </w:r>
          </w:p>
        </w:tc>
        <w:tc>
          <w:tcPr>
            <w:tcW w:type="dxa" w:w="1440"/>
          </w:tcPr>
          <w:p>
            <w:r>
              <w:t>The clause restricts arbitration to Singapore, potentially unfavorable for the buyer if disputes arise regarding laboratory test methodology. This limits the available legal remedies and could increase costs associated with pursuing claims in a jurisdiction not aligned with the original agreement.</w:t>
            </w:r>
          </w:p>
        </w:tc>
        <w:tc>
          <w:tcPr>
            <w:tcW w:type="dxa" w:w="1440"/>
          </w:tcPr>
          <w:p>
            <w:r>
              <w:t>Maintain the existing arbitration seat specification as it is fully compliant.</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Reduced liability coverage for emergency safety shutdowns.</w:t>
            </w:r>
          </w:p>
        </w:tc>
        <w:tc>
          <w:tcPr>
            <w:tcW w:type="dxa" w:w="1440"/>
          </w:tcPr>
          <w:p>
            <w:r>
              <w:t>The clause excludes direct costs associated with a safety shutdown, effectively capping the supplier's liability. This creates significant exposure to potentially substantial financial loss if a defect triggers an emergency situation requiring costly remediation or stabilization activities.</w:t>
            </w:r>
          </w:p>
        </w:tc>
        <w:tc>
          <w:tcPr>
            <w:tcW w:type="dxa" w:w="1440"/>
          </w:tcPr>
          <w:p>
            <w:r>
              <w:t>Reiterate the 10% cap applies to all defect-related costs, irrespective of triggering event.</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Potential for increased liability despite exclusion of consequential damages.</w:t>
            </w:r>
          </w:p>
        </w:tc>
        <w:tc>
          <w:tcPr>
            <w:tcW w:type="dxa" w:w="1440"/>
          </w:tcPr>
          <w:p>
            <w:r>
              <w:t>The clause excludes consequential damages, but numerous exceptions exist. These include downtime, loss of production, and business opportunity – significant commercial risks. The scope of excluded losses is not clearly defined, increasing uncertainty.</w:t>
            </w:r>
          </w:p>
        </w:tc>
        <w:tc>
          <w:tcPr>
            <w:tcW w:type="dxa" w:w="1440"/>
          </w:tcPr>
          <w:p>
            <w:r>
              <w:t>Maintain the existing clause as is; further risk mitigation requires negotiation.</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Potential for significant liability despite exclusion.</w:t>
            </w:r>
          </w:p>
        </w:tc>
        <w:tc>
          <w:tcPr>
            <w:tcW w:type="dxa" w:w="1440"/>
          </w:tcPr>
          <w:p>
            <w:r>
              <w:t>The clause excludes consequential damages but contains several exceptions (confidentiality breaches, fraud, gross negligence etc.). These exceptions create substantial exposure as they allow recovery in specific circumstances where the core exclusion would not apply. This could lead to unexpectedly high costs.</w:t>
            </w:r>
          </w:p>
        </w:tc>
        <w:tc>
          <w:tcPr>
            <w:tcW w:type="dxa" w:w="1440"/>
          </w:tcPr>
          <w:p>
            <w:r>
              <w:t>Require a detailed risk assessment and implement robust data protection protocols to minimize confidentiality breach risks.</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Delayed payments due to acceptance exceptions.</w:t>
            </w:r>
          </w:p>
        </w:tc>
        <w:tc>
          <w:tcPr>
            <w:tcW w:type="dxa" w:w="1440"/>
          </w:tcPr>
          <w:p>
            <w:r>
              <w:t>The clause's exception for disputed amounts and reliance on the later acceptance record creates uncertainty regarding payment timing. This could lead to late payment penalties, strained supplier relationships, and potential cash flow issues.</w:t>
            </w:r>
          </w:p>
        </w:tc>
        <w:tc>
          <w:tcPr>
            <w:tcW w:type="dxa" w:w="1440"/>
          </w:tcPr>
          <w:p>
            <w:r>
              <w:t>Specify 'Net 30 days from invoice receipt', clearly defining acceptable invoice acceptance criteria with objective time-bound checks.</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Require simultaneous completion of all acceptance records before advancing second tranche.</w:t>
            </w:r>
          </w:p>
        </w:tc>
      </w:tr>
      <w:tr>
        <w:tc>
          <w:tcPr>
            <w:tcW w:type="dxa" w:w="2880"/>
          </w:tcPr>
          <w:p>
            <w:r>
              <w:t>Bank Guarantees</w:t>
            </w:r>
          </w:p>
        </w:tc>
        <w:tc>
          <w:tcPr>
            <w:tcW w:type="dxa" w:w="2880"/>
          </w:tcPr>
          <w:p>
            <w:r>
              <w:t>Performance Guarantee not exceeding 10%</w:t>
            </w:r>
          </w:p>
        </w:tc>
        <w:tc>
          <w:tcPr>
            <w:tcW w:type="dxa" w:w="2880"/>
          </w:tcPr>
          <w:p>
            <w:r>
              <w:t>Reduce total security obligations to 10 percent including any bridge guarantees.</w:t>
            </w:r>
          </w:p>
        </w:tc>
      </w:tr>
      <w:tr>
        <w:tc>
          <w:tcPr>
            <w:tcW w:type="dxa" w:w="2880"/>
          </w:tcPr>
          <w:p>
            <w:r>
              <w:t>Liquidated Damages</w:t>
            </w:r>
          </w:p>
        </w:tc>
        <w:tc>
          <w:tcPr>
            <w:tcW w:type="dxa" w:w="2880"/>
          </w:tcPr>
          <w:p>
            <w:r>
              <w:t>Documentation LD not applicable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0.5% per week</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Equipment Delivery LD capped at 5%</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Remedial Work LD not applicable</w:t>
            </w:r>
          </w:p>
        </w:tc>
        <w:tc>
          <w:tcPr>
            <w:tcW w:type="dxa" w:w="2880"/>
          </w:tcPr>
          <w:p>
            <w:r>
              <w:t>Reduce aggregate LD and service-credit exposure to a maximum of 5 percent of PO value.</w:t>
            </w:r>
          </w:p>
        </w:tc>
      </w:tr>
      <w:tr>
        <w:tc>
          <w:tcPr>
            <w:tcW w:type="dxa" w:w="2880"/>
          </w:tcPr>
          <w:p>
            <w:r>
              <w:t>Guarantee</w:t>
            </w:r>
          </w:p>
        </w:tc>
        <w:tc>
          <w:tcPr>
            <w:tcW w:type="dxa" w:w="2880"/>
          </w:tcPr>
          <w:p>
            <w:r>
              <w:t>Warranty period defined</w:t>
            </w:r>
          </w:p>
        </w:tc>
        <w:tc>
          <w:tcPr>
            <w:tcW w:type="dxa" w:w="2880"/>
          </w:tcPr>
          <w:p>
            <w:r>
              <w:t>Reduce standard guarantee period to eighteen (18) months from dispatch.</w:t>
            </w:r>
          </w:p>
        </w:tc>
      </w:tr>
      <w:tr>
        <w:tc>
          <w:tcPr>
            <w:tcW w:type="dxa" w:w="2880"/>
          </w:tcPr>
          <w:p>
            <w:r>
              <w:t>Guarantee</w:t>
            </w:r>
          </w:p>
        </w:tc>
        <w:tc>
          <w:tcPr>
            <w:tcW w:type="dxa" w:w="2880"/>
          </w:tcPr>
          <w:p>
            <w:r>
              <w:t>2 months from commissioning or 18 months from dispatch</w:t>
            </w:r>
          </w:p>
        </w:tc>
        <w:tc>
          <w:tcPr>
            <w:tcW w:type="dxa" w:w="2880"/>
          </w:tcPr>
          <w:p>
            <w:r>
              <w:t>Specify a single, clearly defined guarantee duration aligned with the longest protection period (18 months).</w:t>
            </w:r>
          </w:p>
        </w:tc>
      </w:tr>
      <w:tr>
        <w:tc>
          <w:tcPr>
            <w:tcW w:type="dxa" w:w="2880"/>
          </w:tcPr>
          <w:p>
            <w:r>
              <w:t>Guarantee</w:t>
            </w:r>
          </w:p>
        </w:tc>
        <w:tc>
          <w:tcPr>
            <w:tcW w:type="dxa" w:w="2880"/>
          </w:tcPr>
          <w:p>
            <w:r>
              <w:t>Repair/replacement warranty obligations defined</w:t>
            </w:r>
          </w:p>
        </w:tc>
        <w:tc>
          <w:tcPr>
            <w:tcW w:type="dxa" w:w="2880"/>
          </w:tcPr>
          <w:p>
            <w:r>
              <w:t>Extend the remedial guarantee period to match the standard guarantee at eighteen months from dispatch.</w:t>
            </w:r>
          </w:p>
        </w:tc>
      </w:tr>
      <w:tr>
        <w:tc>
          <w:tcPr>
            <w:tcW w:type="dxa" w:w="2880"/>
          </w:tcPr>
          <w:p>
            <w:r>
              <w:t>Force Majeure</w:t>
            </w:r>
          </w:p>
        </w:tc>
        <w:tc>
          <w:tcPr>
            <w:tcW w:type="dxa" w:w="2880"/>
          </w:tcPr>
          <w:p>
            <w:r>
              <w:t>Force majeure events defined</w:t>
            </w:r>
          </w:p>
        </w:tc>
        <w:tc>
          <w:tcPr>
            <w:tcW w:type="dxa" w:w="2880"/>
          </w:tcPr>
          <w:p>
            <w:r>
              <w:t>Expand Force Majeure definition to include all approved suppliers and logistics providers.</w:t>
            </w:r>
          </w:p>
        </w:tc>
      </w:tr>
      <w:tr>
        <w:tc>
          <w:tcPr>
            <w:tcW w:type="dxa" w:w="2880"/>
          </w:tcPr>
          <w:p>
            <w:r>
              <w:t>Force Majeure</w:t>
            </w:r>
          </w:p>
        </w:tc>
        <w:tc>
          <w:tcPr>
            <w:tcW w:type="dxa" w:w="2880"/>
          </w:tcPr>
          <w:p>
            <w:r>
              <w:t>Applies to subcontractors</w:t>
            </w:r>
          </w:p>
        </w:tc>
        <w:tc>
          <w:tcPr>
            <w:tcW w:type="dxa" w:w="2880"/>
          </w:tcPr>
          <w:p>
            <w:r>
              <w:t>Expand force majeure protection to include all subcontractors within the supply chain as defined in Annex D.</w:t>
            </w:r>
          </w:p>
        </w:tc>
      </w:tr>
      <w:tr>
        <w:tc>
          <w:tcPr>
            <w:tcW w:type="dxa" w:w="2880"/>
          </w:tcPr>
          <w:p>
            <w:r>
              <w:t>Force Majeure</w:t>
            </w:r>
          </w:p>
        </w:tc>
        <w:tc>
          <w:tcPr>
            <w:tcW w:type="dxa" w:w="2880"/>
          </w:tcPr>
          <w:p>
            <w:r>
              <w:t>Notice obligations defined</w:t>
            </w:r>
          </w:p>
        </w:tc>
        <w:tc>
          <w:tcPr>
            <w:tcW w:type="dxa" w:w="2880"/>
          </w:tcPr>
          <w:p>
            <w:r>
              <w:t>Expand Force Majeure coverage to include all approved subcontractors and logistics providers identified within supplier's risk management program.</w:t>
            </w:r>
          </w:p>
        </w:tc>
      </w:tr>
      <w:tr>
        <w:tc>
          <w:tcPr>
            <w:tcW w:type="dxa" w:w="2880"/>
          </w:tcPr>
          <w:p>
            <w:r>
              <w:t>Termination</w:t>
            </w:r>
          </w:p>
        </w:tc>
        <w:tc>
          <w:tcPr>
            <w:tcW w:type="dxa" w:w="2880"/>
          </w:tcPr>
          <w:p>
            <w:r>
              <w:t>Termination rights defined</w:t>
            </w:r>
          </w:p>
        </w:tc>
        <w:tc>
          <w:tcPr>
            <w:tcW w:type="dxa" w:w="2880"/>
          </w:tcPr>
          <w:p>
            <w:r>
              <w:t>Implement a standardized process for calculating termination fees, utilizing a clear, simple formula aligned with the schedule.</w:t>
            </w:r>
          </w:p>
        </w:tc>
      </w:tr>
      <w:tr>
        <w:tc>
          <w:tcPr>
            <w:tcW w:type="dxa" w:w="2880"/>
          </w:tcPr>
          <w:p>
            <w:r>
              <w:t>Termination</w:t>
            </w:r>
          </w:p>
        </w:tc>
        <w:tc>
          <w:tcPr>
            <w:tcW w:type="dxa" w:w="2880"/>
          </w:tcPr>
          <w:p>
            <w:r>
              <w:t>Cancellation fee structure defined</w:t>
            </w:r>
          </w:p>
        </w:tc>
        <w:tc>
          <w:tcPr>
            <w:tcW w:type="dxa" w:w="2880"/>
          </w:tcPr>
          <w:p>
            <w:r>
              <w:t>Implement a clear, expedited process for notifying the Buyer of intent to cancel, minimizing delay triggers.</w:t>
            </w:r>
          </w:p>
        </w:tc>
      </w:tr>
      <w:tr>
        <w:tc>
          <w:tcPr>
            <w:tcW w:type="dxa" w:w="2880"/>
          </w:tcPr>
          <w:p>
            <w:r>
              <w:t>Termination</w:t>
            </w:r>
          </w:p>
        </w:tc>
        <w:tc>
          <w:tcPr>
            <w:tcW w:type="dxa" w:w="2880"/>
          </w:tcPr>
          <w:p>
            <w:r>
              <w:t>61-90 day cancellation fee 40%</w:t>
            </w:r>
          </w:p>
        </w:tc>
        <w:tc>
          <w:tcPr>
            <w:tcW w:type="dxa" w:w="2880"/>
          </w:tcPr>
          <w:p>
            <w:r>
              <w:t>Implement strict invoice validation and approval processes to confirm accurate fee calculations at termination.</w:t>
            </w:r>
          </w:p>
        </w:tc>
      </w:tr>
      <w:tr>
        <w:tc>
          <w:tcPr>
            <w:tcW w:type="dxa" w:w="2880"/>
          </w:tcPr>
          <w:p>
            <w:r>
              <w:t>Suspension</w:t>
            </w:r>
          </w:p>
        </w:tc>
        <w:tc>
          <w:tcPr>
            <w:tcW w:type="dxa" w:w="2880"/>
          </w:tcPr>
          <w:p>
            <w:r>
              <w:t>Maximum 2 suspensions and 30 days aggregate</w:t>
            </w:r>
          </w:p>
        </w:tc>
        <w:tc>
          <w:tcPr>
            <w:tcW w:type="dxa" w:w="2880"/>
          </w:tcPr>
          <w:p>
            <w:r>
              <w:t>Explicitly define 'regulatory stoppage' and its impact on suspension limits within the clause.</w:t>
            </w:r>
          </w:p>
        </w:tc>
      </w:tr>
      <w:tr>
        <w:tc>
          <w:tcPr>
            <w:tcW w:type="dxa" w:w="2880"/>
          </w:tcPr>
          <w:p>
            <w:r>
              <w:t>Suspension</w:t>
            </w:r>
          </w:p>
        </w:tc>
        <w:tc>
          <w:tcPr>
            <w:tcW w:type="dxa" w:w="2880"/>
          </w:tcPr>
          <w:p>
            <w:r>
              <w:t>Supplier obligations during suspension defined</w:t>
            </w:r>
          </w:p>
        </w:tc>
        <w:tc>
          <w:tcPr>
            <w:tcW w:type="dxa" w:w="2880"/>
          </w:tcPr>
          <w:p>
            <w:r>
              <w:t>Require written agreement from Supplier before exceeding suspension limits.</w:t>
            </w:r>
          </w:p>
        </w:tc>
      </w:tr>
      <w:tr>
        <w:tc>
          <w:tcPr>
            <w:tcW w:type="dxa" w:w="2880"/>
          </w:tcPr>
          <w:p>
            <w:r>
              <w:t>Governing Law</w:t>
            </w:r>
          </w:p>
        </w:tc>
        <w:tc>
          <w:tcPr>
            <w:tcW w:type="dxa" w:w="2880"/>
          </w:tcPr>
          <w:p>
            <w:r>
              <w:t>Applicable law specified</w:t>
            </w:r>
          </w:p>
        </w:tc>
        <w:tc>
          <w:tcPr>
            <w:tcW w:type="dxa" w:w="2880"/>
          </w:tcPr>
          <w:p>
            <w:r>
              <w:t>Implement a clause requiring governing law to be [Client's Jurisdiction], excluding conflicts only where legally permissible.</w:t>
            </w:r>
          </w:p>
        </w:tc>
      </w:tr>
      <w:tr>
        <w:tc>
          <w:tcPr>
            <w:tcW w:type="dxa" w:w="2880"/>
          </w:tcPr>
          <w:p>
            <w:r>
              <w:t>Dispute Resolution</w:t>
            </w:r>
          </w:p>
        </w:tc>
        <w:tc>
          <w:tcPr>
            <w:tcW w:type="dxa" w:w="2880"/>
          </w:tcPr>
          <w:p>
            <w:r>
              <w:t>Arbitration mechanism defined</w:t>
            </w:r>
          </w:p>
        </w:tc>
        <w:tc>
          <w:tcPr>
            <w:tcW w:type="dxa" w:w="2880"/>
          </w:tcPr>
          <w:p>
            <w:r>
              <w:t>Require binding expert determination within 30 days; specify arbitrator selection criteria for Singapore arbitration.</w:t>
            </w:r>
          </w:p>
        </w:tc>
      </w:tr>
      <w:tr>
        <w:tc>
          <w:tcPr>
            <w:tcW w:type="dxa" w:w="2880"/>
          </w:tcPr>
          <w:p>
            <w:r>
              <w:t>Dispute Resolution</w:t>
            </w:r>
          </w:p>
        </w:tc>
        <w:tc>
          <w:tcPr>
            <w:tcW w:type="dxa" w:w="2880"/>
          </w:tcPr>
          <w:p>
            <w:r>
              <w:t>Seat of arbitration specified</w:t>
            </w:r>
          </w:p>
        </w:tc>
        <w:tc>
          <w:tcPr>
            <w:tcW w:type="dxa" w:w="2880"/>
          </w:tcPr>
          <w:p>
            <w:r>
              <w:t>Maintain the existing arbitration seat specification as it is fully compliant.</w:t>
            </w:r>
          </w:p>
        </w:tc>
      </w:tr>
      <w:tr>
        <w:tc>
          <w:tcPr>
            <w:tcW w:type="dxa" w:w="2880"/>
          </w:tcPr>
          <w:p>
            <w:r>
              <w:t>Liability</w:t>
            </w:r>
          </w:p>
        </w:tc>
        <w:tc>
          <w:tcPr>
            <w:tcW w:type="dxa" w:w="2880"/>
          </w:tcPr>
          <w:p>
            <w:r>
              <w:t>Liability carve-outs defined</w:t>
            </w:r>
          </w:p>
        </w:tc>
        <w:tc>
          <w:tcPr>
            <w:tcW w:type="dxa" w:w="2880"/>
          </w:tcPr>
          <w:p>
            <w:r>
              <w:t>Reiterate the 10% cap applies to all defect-related costs, irrespective of triggering event.</w:t>
            </w:r>
          </w:p>
        </w:tc>
      </w:tr>
      <w:tr>
        <w:tc>
          <w:tcPr>
            <w:tcW w:type="dxa" w:w="2880"/>
          </w:tcPr>
          <w:p>
            <w:r>
              <w:t>Consequential Damages</w:t>
            </w:r>
          </w:p>
        </w:tc>
        <w:tc>
          <w:tcPr>
            <w:tcW w:type="dxa" w:w="2880"/>
          </w:tcPr>
          <w:p>
            <w:r>
              <w:t>Consequential damages excluded</w:t>
            </w:r>
          </w:p>
        </w:tc>
        <w:tc>
          <w:tcPr>
            <w:tcW w:type="dxa" w:w="2880"/>
          </w:tcPr>
          <w:p>
            <w:r>
              <w:t>Maintain the existing clause as is; further risk mitigation requires negotiation.</w:t>
            </w:r>
          </w:p>
        </w:tc>
      </w:tr>
      <w:tr>
        <w:tc>
          <w:tcPr>
            <w:tcW w:type="dxa" w:w="2880"/>
          </w:tcPr>
          <w:p>
            <w:r>
              <w:t>Consequential Damages</w:t>
            </w:r>
          </w:p>
        </w:tc>
        <w:tc>
          <w:tcPr>
            <w:tcW w:type="dxa" w:w="2880"/>
          </w:tcPr>
          <w:p>
            <w:r>
              <w:t>Exceptions to exclusion defined</w:t>
            </w:r>
          </w:p>
        </w:tc>
        <w:tc>
          <w:tcPr>
            <w:tcW w:type="dxa" w:w="2880"/>
          </w:tcPr>
          <w:p>
            <w:r>
              <w:t>Require a detailed risk assessment and implement robust data protection protocols to minimize confidentiality breach risks.</w:t>
            </w:r>
          </w:p>
        </w:tc>
      </w:tr>
      <w:tr>
        <w:tc>
          <w:tcPr>
            <w:tcW w:type="dxa" w:w="2880"/>
          </w:tcPr>
          <w:p>
            <w:r>
              <w:t>Payment Terms</w:t>
            </w:r>
          </w:p>
        </w:tc>
        <w:tc>
          <w:tcPr>
            <w:tcW w:type="dxa" w:w="2880"/>
          </w:tcPr>
          <w:p>
            <w:r>
              <w:t>All payments Net 30 days from invoice</w:t>
            </w:r>
          </w:p>
        </w:tc>
        <w:tc>
          <w:tcPr>
            <w:tcW w:type="dxa" w:w="2880"/>
          </w:tcPr>
          <w:p>
            <w:r>
              <w:t>Specify 'Net 30 days from invoice receipt', clearly defining acceptable invoice acceptance criteria with objective time-bound checks.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