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Clause</w:t>
            </w:r>
          </w:p>
        </w:tc>
        <w:tc>
          <w:tcPr>
            <w:tcW w:type="dxa" w:w="2160"/>
          </w:tcPr>
          <w:p>
            <w:r>
              <w:t>Requirement</w:t>
            </w:r>
          </w:p>
        </w:tc>
        <w:tc>
          <w:tcPr>
            <w:tcW w:type="dxa" w:w="2160"/>
          </w:tcPr>
          <w:p>
            <w:r>
              <w:t>Status</w:t>
            </w:r>
          </w:p>
        </w:tc>
        <w:tc>
          <w:tcPr>
            <w:tcW w:type="dxa" w:w="2160"/>
          </w:tcPr>
          <w:p>
            <w:r>
              <w:t>Evidence</w:t>
            </w:r>
          </w:p>
        </w:tc>
      </w:tr>
      <w:tr>
        <w:tc>
          <w:tcPr>
            <w:tcW w:type="dxa" w:w="2160"/>
          </w:tcPr>
          <w:p>
            <w:r>
              <w:t>Payment Terms</w:t>
            </w:r>
          </w:p>
        </w:tc>
        <w:tc>
          <w:tcPr>
            <w:tcW w:type="dxa" w:w="2160"/>
          </w:tcPr>
          <w:p>
            <w:r>
              <w:t>45% Minimum Advance</w:t>
            </w:r>
          </w:p>
        </w:tc>
        <w:tc>
          <w:tcPr>
            <w:tcW w:type="dxa" w:w="2160"/>
          </w:tcPr>
          <w:p>
            <w:r>
              <w:t>Partially Met</w:t>
            </w:r>
          </w:p>
        </w:tc>
        <w:tc>
          <w:tcPr>
            <w:tcW w:type="dxa" w:w="2160"/>
          </w:tcPr>
          <w:p>
            <w:r>
              <w:t>This retention clause is not intended to reduce the agreed advance percentage but can</w:t>
              <w:br/>
              <w:t>affect payment timing.</w:t>
            </w:r>
          </w:p>
        </w:tc>
      </w:tr>
      <w:tr>
        <w:tc>
          <w:tcPr>
            <w:tcW w:type="dxa" w:w="2160"/>
          </w:tcPr>
          <w:p>
            <w:r>
              <w:t>Bank Guarantees</w:t>
            </w:r>
          </w:p>
        </w:tc>
        <w:tc>
          <w:tcPr>
            <w:tcW w:type="dxa" w:w="2160"/>
          </w:tcPr>
          <w:p>
            <w:r>
              <w:t>Performance Guarantee not exceeding 10%</w:t>
            </w:r>
          </w:p>
        </w:tc>
        <w:tc>
          <w:tcPr>
            <w:tcW w:type="dxa" w:w="2160"/>
          </w:tcPr>
          <w:p>
            <w:r>
              <w:t>Not Met</w:t>
            </w:r>
          </w:p>
        </w:tc>
        <w:tc>
          <w:tcPr>
            <w:tcW w:type="dxa" w:w="2160"/>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r>
      <w:tr>
        <w:tc>
          <w:tcPr>
            <w:tcW w:type="dxa" w:w="2160"/>
          </w:tcPr>
          <w:p>
            <w:r>
              <w:t>Bank Guarantees</w:t>
            </w:r>
          </w:p>
        </w:tc>
        <w:tc>
          <w:tcPr>
            <w:tcW w:type="dxa" w:w="2160"/>
          </w:tcPr>
          <w:p>
            <w:r>
              <w:t>Bank Guarantee validity period defined</w:t>
            </w:r>
          </w:p>
        </w:tc>
        <w:tc>
          <w:tcPr>
            <w:tcW w:type="dxa" w:w="2160"/>
          </w:tcPr>
          <w:p>
            <w:r>
              <w:t>Met</w:t>
            </w:r>
          </w:p>
        </w:tc>
        <w:tc>
          <w:tcPr>
            <w:tcW w:type="dxa" w:w="2160"/>
          </w:tcPr>
          <w:p>
            <w:r>
              <w:t>Supplier shall furnish an unconditional performance bank guarantee equal to ten percent (10%)</w:t>
              <w:br/>
              <w:t>of the Purchase Order value, valid until expiry of the standard guarantee period plus ninety (90) days.</w:t>
            </w:r>
          </w:p>
        </w:tc>
      </w:tr>
      <w:tr>
        <w:tc>
          <w:tcPr>
            <w:tcW w:type="dxa" w:w="2160"/>
          </w:tcPr>
          <w:p>
            <w:r>
              <w:t>Liquidated Damages</w:t>
            </w:r>
          </w:p>
        </w:tc>
        <w:tc>
          <w:tcPr>
            <w:tcW w:type="dxa" w:w="2160"/>
          </w:tcPr>
          <w:p>
            <w:r>
              <w:t>Documentation LD not applicable</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Equipment Delivery LD 0.5% per week</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Equipment Delivery LD capped at 5%</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Aggregate LD capped at 5% PO value</w:t>
            </w:r>
          </w:p>
        </w:tc>
        <w:tc>
          <w:tcPr>
            <w:tcW w:type="dxa" w:w="2160"/>
          </w:tcPr>
          <w:p>
            <w:r>
              <w:t>Not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Remedial Work LD not applicable</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Guarantee</w:t>
            </w:r>
          </w:p>
        </w:tc>
        <w:tc>
          <w:tcPr>
            <w:tcW w:type="dxa" w:w="2160"/>
          </w:tcPr>
          <w:p>
            <w:r>
              <w:t>Warranty period defined</w:t>
            </w:r>
          </w:p>
        </w:tc>
        <w:tc>
          <w:tcPr>
            <w:tcW w:type="dxa" w:w="2160"/>
          </w:tcPr>
          <w:p>
            <w:r>
              <w:t>Partially Met</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Guarantee</w:t>
            </w:r>
          </w:p>
        </w:tc>
        <w:tc>
          <w:tcPr>
            <w:tcW w:type="dxa" w:w="2160"/>
          </w:tcPr>
          <w:p>
            <w:r>
              <w:t>2 months from commissioning or 18 months from dispatch</w:t>
            </w:r>
          </w:p>
        </w:tc>
        <w:tc>
          <w:tcPr>
            <w:tcW w:type="dxa" w:w="2160"/>
          </w:tcPr>
          <w:p>
            <w:r>
              <w:t>Partially Met</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Guarantee</w:t>
            </w:r>
          </w:p>
        </w:tc>
        <w:tc>
          <w:tcPr>
            <w:tcW w:type="dxa" w:w="2160"/>
          </w:tcPr>
          <w:p>
            <w:r>
              <w:t>Repair/replacement warranty obligations defined</w:t>
            </w:r>
          </w:p>
        </w:tc>
        <w:tc>
          <w:tcPr>
            <w:tcW w:type="dxa" w:w="2160"/>
          </w:tcPr>
          <w:p>
            <w:r>
              <w:t>Partially Met</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Force Majeure</w:t>
            </w:r>
          </w:p>
        </w:tc>
        <w:tc>
          <w:tcPr>
            <w:tcW w:type="dxa" w:w="2160"/>
          </w:tcPr>
          <w:p>
            <w:r>
              <w:t>Force majeure events defined</w:t>
            </w:r>
          </w:p>
        </w:tc>
        <w:tc>
          <w:tcPr>
            <w:tcW w:type="dxa" w:w="2160"/>
          </w:tcPr>
          <w:p>
            <w:r>
              <w:t>Partially Met</w:t>
            </w:r>
          </w:p>
        </w:tc>
        <w:tc>
          <w:tcPr>
            <w:tcW w:type="dxa" w:w="2160"/>
          </w:tcPr>
          <w:p>
            <w:r>
              <w:t>Supplier may claim Force Majeure relief for events affecting only the Tier-1 critical sub-suppliers named</w:t>
              <w:br/>
              <w:t>in Annex D or the approved international logistics carrier.</w:t>
            </w:r>
          </w:p>
        </w:tc>
      </w:tr>
      <w:tr>
        <w:tc>
          <w:tcPr>
            <w:tcW w:type="dxa" w:w="2160"/>
          </w:tcPr>
          <w:p>
            <w:r>
              <w:t>Force Majeure</w:t>
            </w:r>
          </w:p>
        </w:tc>
        <w:tc>
          <w:tcPr>
            <w:tcW w:type="dxa" w:w="2160"/>
          </w:tcPr>
          <w:p>
            <w:r>
              <w:t>Applies to subcontractors</w:t>
            </w:r>
          </w:p>
        </w:tc>
        <w:tc>
          <w:tcPr>
            <w:tcW w:type="dxa" w:w="2160"/>
          </w:tcPr>
          <w:p>
            <w:r>
              <w:t>Partially Met</w:t>
            </w:r>
          </w:p>
        </w:tc>
        <w:tc>
          <w:tcPr>
            <w:tcW w:type="dxa" w:w="2160"/>
          </w:tcPr>
          <w:p>
            <w:r>
              <w:t>Force majeure applies only to named Tier-1 / approved suppliers</w:t>
            </w:r>
          </w:p>
        </w:tc>
      </w:tr>
      <w:tr>
        <w:tc>
          <w:tcPr>
            <w:tcW w:type="dxa" w:w="2160"/>
          </w:tcPr>
          <w:p>
            <w:r>
              <w:t>Force Majeure</w:t>
            </w:r>
          </w:p>
        </w:tc>
        <w:tc>
          <w:tcPr>
            <w:tcW w:type="dxa" w:w="2160"/>
          </w:tcPr>
          <w:p>
            <w:r>
              <w:t>Notice obligations defined</w:t>
            </w:r>
          </w:p>
        </w:tc>
        <w:tc>
          <w:tcPr>
            <w:tcW w:type="dxa" w:w="2160"/>
          </w:tcPr>
          <w:p>
            <w:r>
              <w:t>Partially Met</w:t>
            </w:r>
          </w:p>
        </w:tc>
        <w:tc>
          <w:tcPr>
            <w:tcW w:type="dxa" w:w="2160"/>
          </w:tcPr>
          <w:p>
            <w:r>
              <w:t>Supplier may claim Force Majeure relief for events affecting only the Tier-1 critical sub-suppliers named</w:t>
              <w:br/>
              <w:t>in Annex D or the approved international logistics carrier.</w:t>
            </w:r>
          </w:p>
        </w:tc>
      </w:tr>
      <w:tr>
        <w:tc>
          <w:tcPr>
            <w:tcW w:type="dxa" w:w="2160"/>
          </w:tcPr>
          <w:p>
            <w:r>
              <w:t>Termination</w:t>
            </w:r>
          </w:p>
        </w:tc>
        <w:tc>
          <w:tcPr>
            <w:tcW w:type="dxa" w:w="2160"/>
          </w:tcPr>
          <w:p>
            <w:r>
              <w:t>Termination rights defined</w:t>
            </w:r>
          </w:p>
        </w:tc>
        <w:tc>
          <w:tcPr>
            <w:tcW w:type="dxa" w:w="2160"/>
          </w:tcPr>
          <w:p>
            <w:r>
              <w:t>Met</w:t>
            </w:r>
          </w:p>
        </w:tc>
        <w:tc>
          <w:tcPr>
            <w:tcW w:type="dxa" w:w="216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2160"/>
          </w:tcPr>
          <w:p>
            <w:r>
              <w:t>Termination</w:t>
            </w:r>
          </w:p>
        </w:tc>
        <w:tc>
          <w:tcPr>
            <w:tcW w:type="dxa" w:w="2160"/>
          </w:tcPr>
          <w:p>
            <w:r>
              <w:t>Cancellation fee structure defined</w:t>
            </w:r>
          </w:p>
        </w:tc>
        <w:tc>
          <w:tcPr>
            <w:tcW w:type="dxa" w:w="2160"/>
          </w:tcPr>
          <w:p>
            <w:r>
              <w:t>Met</w:t>
            </w:r>
          </w:p>
        </w:tc>
        <w:tc>
          <w:tcPr>
            <w:tcW w:type="dxa" w:w="216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2160"/>
          </w:tcPr>
          <w:p>
            <w:r>
              <w:t>Termination</w:t>
            </w:r>
          </w:p>
        </w:tc>
        <w:tc>
          <w:tcPr>
            <w:tcW w:type="dxa" w:w="2160"/>
          </w:tcPr>
          <w:p>
            <w:r>
              <w:t>61-90 day cancellation fee 40%</w:t>
            </w:r>
          </w:p>
        </w:tc>
        <w:tc>
          <w:tcPr>
            <w:tcW w:type="dxa" w:w="2160"/>
          </w:tcPr>
          <w:p>
            <w:r>
              <w:t>Not Met</w:t>
            </w:r>
          </w:p>
        </w:tc>
        <w:tc>
          <w:tcPr>
            <w:tcW w:type="dxa" w:w="2160"/>
          </w:tcPr>
          <w:p>
            <w:r>
              <w:t>Article 00511.9 - Cancellation and Early Termination Fee</w:t>
            </w:r>
          </w:p>
        </w:tc>
      </w:tr>
      <w:tr>
        <w:tc>
          <w:tcPr>
            <w:tcW w:type="dxa" w:w="2160"/>
          </w:tcPr>
          <w:p>
            <w:r>
              <w:t>Suspension</w:t>
            </w:r>
          </w:p>
        </w:tc>
        <w:tc>
          <w:tcPr>
            <w:tcW w:type="dxa" w:w="2160"/>
          </w:tcPr>
          <w:p>
            <w:r>
              <w:t>Maximum 2 suspensions and 30 days aggregate</w:t>
            </w:r>
          </w:p>
        </w:tc>
        <w:tc>
          <w:tcPr>
            <w:tcW w:type="dxa" w:w="2160"/>
          </w:tcPr>
          <w:p>
            <w:r>
              <w:t>Partially Met</w:t>
            </w:r>
          </w:p>
        </w:tc>
        <w:tc>
          <w:tcPr>
            <w:tcW w:type="dxa" w:w="2160"/>
          </w:tcPr>
          <w:p>
            <w:r>
              <w:t>Suspension limits exclude regulatory, government, legal, and safety stoppages</w:t>
            </w:r>
          </w:p>
        </w:tc>
      </w:tr>
      <w:tr>
        <w:tc>
          <w:tcPr>
            <w:tcW w:type="dxa" w:w="2160"/>
          </w:tcPr>
          <w:p>
            <w:r>
              <w:t>Suspension</w:t>
            </w:r>
          </w:p>
        </w:tc>
        <w:tc>
          <w:tcPr>
            <w:tcW w:type="dxa" w:w="2160"/>
          </w:tcPr>
          <w:p>
            <w:r>
              <w:t>Supplier obligations during suspension defined</w:t>
            </w:r>
          </w:p>
        </w:tc>
        <w:tc>
          <w:tcPr>
            <w:tcW w:type="dxa" w:w="2160"/>
          </w:tcPr>
          <w:p>
            <w:r>
              <w:t>Met</w:t>
            </w:r>
          </w:p>
        </w:tc>
        <w:tc>
          <w:tcPr>
            <w:tcW w:type="dxa" w:w="216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r>
      <w:tr>
        <w:tc>
          <w:tcPr>
            <w:tcW w:type="dxa" w:w="2160"/>
          </w:tcPr>
          <w:p>
            <w:r>
              <w:t>Change Orders</w:t>
            </w:r>
          </w:p>
        </w:tc>
        <w:tc>
          <w:tcPr>
            <w:tcW w:type="dxa" w:w="2160"/>
          </w:tcPr>
          <w:p>
            <w:r>
              <w:t>Formal amendment process defined</w:t>
            </w:r>
          </w:p>
        </w:tc>
        <w:tc>
          <w:tcPr>
            <w:tcW w:type="dxa" w:w="2160"/>
          </w:tcPr>
          <w:p>
            <w:r>
              <w:t>Met</w:t>
            </w:r>
          </w:p>
        </w:tc>
        <w:tc>
          <w:tcPr>
            <w:tcW w:type="dxa" w:w="216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2160"/>
          </w:tcPr>
          <w:p>
            <w:r>
              <w:t>Change Orders</w:t>
            </w:r>
          </w:p>
        </w:tc>
        <w:tc>
          <w:tcPr>
            <w:tcW w:type="dxa" w:w="2160"/>
          </w:tcPr>
          <w:p>
            <w:r>
              <w:t>Timeline for approval defined</w:t>
            </w:r>
          </w:p>
        </w:tc>
        <w:tc>
          <w:tcPr>
            <w:tcW w:type="dxa" w:w="2160"/>
          </w:tcPr>
          <w:p>
            <w:r>
              <w:t>Met</w:t>
            </w:r>
          </w:p>
        </w:tc>
        <w:tc>
          <w:tcPr>
            <w:tcW w:type="dxa" w:w="216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2160"/>
          </w:tcPr>
          <w:p>
            <w:r>
              <w:t>Governing Law</w:t>
            </w:r>
          </w:p>
        </w:tc>
        <w:tc>
          <w:tcPr>
            <w:tcW w:type="dxa" w:w="2160"/>
          </w:tcPr>
          <w:p>
            <w:r>
              <w:t>Applicable law specified</w:t>
            </w:r>
          </w:p>
        </w:tc>
        <w:tc>
          <w:tcPr>
            <w:tcW w:type="dxa" w:w="2160"/>
          </w:tcPr>
          <w:p>
            <w:r>
              <w:t>Partially Met</w:t>
            </w:r>
          </w:p>
        </w:tc>
        <w:tc>
          <w:tcPr>
            <w:tcW w:type="dxa" w:w="2160"/>
          </w:tcPr>
          <w:p>
            <w:r>
              <w:t>This Purchase Order and all non-contractual obligations arising out of or in connection with it shall be</w:t>
              <w:br/>
              <w:t>governed by the laws of India, excluding conflict-of-law principles.</w:t>
            </w:r>
          </w:p>
        </w:tc>
      </w:tr>
      <w:tr>
        <w:tc>
          <w:tcPr>
            <w:tcW w:type="dxa" w:w="2160"/>
          </w:tcPr>
          <w:p>
            <w:r>
              <w:t>Dispute Resolution</w:t>
            </w:r>
          </w:p>
        </w:tc>
        <w:tc>
          <w:tcPr>
            <w:tcW w:type="dxa" w:w="2160"/>
          </w:tcPr>
          <w:p>
            <w:r>
              <w:t>Arbitration mechanism defined</w:t>
            </w:r>
          </w:p>
        </w:tc>
        <w:tc>
          <w:tcPr>
            <w:tcW w:type="dxa" w:w="2160"/>
          </w:tcPr>
          <w:p>
            <w:r>
              <w:t>Met</w:t>
            </w:r>
          </w:p>
        </w:tc>
        <w:tc>
          <w:tcPr>
            <w:tcW w:type="dxa" w:w="216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2160"/>
          </w:tcPr>
          <w:p>
            <w:r>
              <w:t>Dispute Resolution</w:t>
            </w:r>
          </w:p>
        </w:tc>
        <w:tc>
          <w:tcPr>
            <w:tcW w:type="dxa" w:w="2160"/>
          </w:tcPr>
          <w:p>
            <w:r>
              <w:t>Seat of arbitration specified</w:t>
            </w:r>
          </w:p>
        </w:tc>
        <w:tc>
          <w:tcPr>
            <w:tcW w:type="dxa" w:w="2160"/>
          </w:tcPr>
          <w:p>
            <w:r>
              <w:t>Met</w:t>
            </w:r>
          </w:p>
        </w:tc>
        <w:tc>
          <w:tcPr>
            <w:tcW w:type="dxa" w:w="216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2160"/>
          </w:tcPr>
          <w:p>
            <w:r>
              <w:t>Insurance</w:t>
            </w:r>
          </w:p>
        </w:tc>
        <w:tc>
          <w:tcPr>
            <w:tcW w:type="dxa" w:w="2160"/>
          </w:tcPr>
          <w:p>
            <w:r>
              <w:t>Insurance responsibilities defined</w:t>
            </w:r>
          </w:p>
        </w:tc>
        <w:tc>
          <w:tcPr>
            <w:tcW w:type="dxa" w:w="2160"/>
          </w:tcPr>
          <w:p>
            <w:r>
              <w:t>Met</w:t>
            </w:r>
          </w:p>
        </w:tc>
        <w:tc>
          <w:tcPr>
            <w:tcW w:type="dxa" w:w="2160"/>
          </w:tcPr>
          <w:p>
            <w:r>
              <w:t>Article 00511.4 - Delivery, Readiness, and Storage</w:t>
            </w:r>
          </w:p>
        </w:tc>
      </w:tr>
      <w:tr>
        <w:tc>
          <w:tcPr>
            <w:tcW w:type="dxa" w:w="2160"/>
          </w:tcPr>
          <w:p>
            <w:r>
              <w:t>Insurance</w:t>
            </w:r>
          </w:p>
        </w:tc>
        <w:tc>
          <w:tcPr>
            <w:tcW w:type="dxa" w:w="2160"/>
          </w:tcPr>
          <w:p>
            <w:r>
              <w:t>Equipment damage covered while at buyer premises</w:t>
            </w:r>
          </w:p>
        </w:tc>
        <w:tc>
          <w:tcPr>
            <w:tcW w:type="dxa" w:w="2160"/>
          </w:tcPr>
          <w:p>
            <w:r>
              <w:t>Met</w:t>
            </w:r>
          </w:p>
        </w:tc>
        <w:tc>
          <w:tcPr>
            <w:tcW w:type="dxa" w:w="2160"/>
          </w:tcPr>
          <w:p>
            <w:r>
              <w:t>Storage charges are</w:t>
              <w:br/>
              <w:t>without prejudice to Supplier's right to claim insurance or preservation costs caused by abnormal storage conditions.</w:t>
            </w:r>
          </w:p>
        </w:tc>
      </w:tr>
      <w:tr>
        <w:tc>
          <w:tcPr>
            <w:tcW w:type="dxa" w:w="2160"/>
          </w:tcPr>
          <w:p>
            <w:r>
              <w:t>Liability</w:t>
            </w:r>
          </w:p>
        </w:tc>
        <w:tc>
          <w:tcPr>
            <w:tcW w:type="dxa" w:w="2160"/>
          </w:tcPr>
          <w:p>
            <w:r>
              <w:t>Aggregate liability cap defined</w:t>
            </w:r>
          </w:p>
        </w:tc>
        <w:tc>
          <w:tcPr>
            <w:tcW w:type="dxa" w:w="2160"/>
          </w:tcPr>
          <w:p>
            <w:r>
              <w:t>Met</w:t>
            </w:r>
          </w:p>
        </w:tc>
        <w:tc>
          <w:tcPr>
            <w:tcW w:type="dxa" w:w="2160"/>
          </w:tcPr>
          <w:p>
            <w:r>
              <w:t>Supplier's aggregate liability for repair</w:t>
              <w:br/>
              <w:t>or replacement of defective equipment under this Article shall not exceed ten percent (10%) of the total Purchase Order value.</w:t>
            </w:r>
          </w:p>
        </w:tc>
      </w:tr>
      <w:tr>
        <w:tc>
          <w:tcPr>
            <w:tcW w:type="dxa" w:w="2160"/>
          </w:tcPr>
          <w:p>
            <w:r>
              <w:t>Liability</w:t>
            </w:r>
          </w:p>
        </w:tc>
        <w:tc>
          <w:tcPr>
            <w:tcW w:type="dxa" w:w="2160"/>
          </w:tcPr>
          <w:p>
            <w:r>
              <w:t>Liability carve-outs defined</w:t>
            </w:r>
          </w:p>
        </w:tc>
        <w:tc>
          <w:tcPr>
            <w:tcW w:type="dxa" w:w="2160"/>
          </w:tcPr>
          <w:p>
            <w:r>
              <w:t>Partially Met</w:t>
            </w:r>
          </w:p>
        </w:tc>
        <w:tc>
          <w:tcPr>
            <w:tcW w:type="dxa" w:w="2160"/>
          </w:tcPr>
          <w:p>
            <w:r>
              <w:t>The cap in Article 00511.8.1 does not apply to direct costs of emergency removal, re-installation, or</w:t>
              <w:br/>
              <w:t>temporary site stabilization if the defect creates a safety shutdown.</w:t>
            </w:r>
          </w:p>
        </w:tc>
      </w:tr>
      <w:tr>
        <w:tc>
          <w:tcPr>
            <w:tcW w:type="dxa" w:w="2160"/>
          </w:tcPr>
          <w:p>
            <w:r>
              <w:t>Consequential Damages</w:t>
            </w:r>
          </w:p>
        </w:tc>
        <w:tc>
          <w:tcPr>
            <w:tcW w:type="dxa" w:w="2160"/>
          </w:tcPr>
          <w:p>
            <w:r>
              <w:t>Consequential damages excluded</w:t>
            </w:r>
          </w:p>
        </w:tc>
        <w:tc>
          <w:tcPr>
            <w:tcW w:type="dxa" w:w="2160"/>
          </w:tcPr>
          <w:p>
            <w:r>
              <w:t>Partially Met</w:t>
            </w:r>
          </w:p>
        </w:tc>
        <w:tc>
          <w:tcPr>
            <w:tcW w:type="dxa" w:w="216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r>
      <w:tr>
        <w:tc>
          <w:tcPr>
            <w:tcW w:type="dxa" w:w="2160"/>
          </w:tcPr>
          <w:p>
            <w:r>
              <w:t>Consequential Damages</w:t>
            </w:r>
          </w:p>
        </w:tc>
        <w:tc>
          <w:tcPr>
            <w:tcW w:type="dxa" w:w="2160"/>
          </w:tcPr>
          <w:p>
            <w:r>
              <w:t>Exceptions to exclusion defined</w:t>
            </w:r>
          </w:p>
        </w:tc>
        <w:tc>
          <w:tcPr>
            <w:tcW w:type="dxa" w:w="2160"/>
          </w:tcPr>
          <w:p>
            <w:r>
              <w:t>Partially Met</w:t>
            </w:r>
          </w:p>
        </w:tc>
        <w:tc>
          <w:tcPr>
            <w:tcW w:type="dxa" w:w="216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r>
      <w:tr>
        <w:tc>
          <w:tcPr>
            <w:tcW w:type="dxa" w:w="2160"/>
          </w:tcPr>
          <w:p>
            <w:r>
              <w:t>Critical Sub-Suppliers</w:t>
            </w:r>
          </w:p>
        </w:tc>
        <w:tc>
          <w:tcPr>
            <w:tcW w:type="dxa" w:w="2160"/>
          </w:tcPr>
          <w:p>
            <w:r>
              <w:t>Approved critical vendors identified</w:t>
            </w:r>
          </w:p>
        </w:tc>
        <w:tc>
          <w:tcPr>
            <w:tcW w:type="dxa" w:w="2160"/>
          </w:tcPr>
          <w:p>
            <w:r>
              <w:t>Met</w:t>
            </w:r>
          </w:p>
        </w:tc>
        <w:tc>
          <w:tcPr>
            <w:tcW w:type="dxa" w:w="2160"/>
          </w:tcPr>
          <w:p>
            <w:r>
              <w:t>Annex D approved critical sub-suppliers: BrightForge Rings Pvt.</w:t>
            </w:r>
          </w:p>
        </w:tc>
      </w:tr>
      <w:tr>
        <w:tc>
          <w:tcPr>
            <w:tcW w:type="dxa" w:w="2160"/>
          </w:tcPr>
          <w:p>
            <w:r>
              <w:t>Critical Sub-Suppliers</w:t>
            </w:r>
          </w:p>
        </w:tc>
        <w:tc>
          <w:tcPr>
            <w:tcW w:type="dxa" w:w="2160"/>
          </w:tcPr>
          <w:p>
            <w:r>
              <w:t>Vendor substitution restrictions defined</w:t>
            </w:r>
          </w:p>
        </w:tc>
        <w:tc>
          <w:tcPr>
            <w:tcW w:type="dxa" w:w="2160"/>
          </w:tcPr>
          <w:p>
            <w:r>
              <w:t>Met</w:t>
            </w:r>
          </w:p>
        </w:tc>
        <w:tc>
          <w:tcPr>
            <w:tcW w:type="dxa" w:w="2160"/>
          </w:tcPr>
          <w:p>
            <w:r>
              <w:t>Annex D approved critical sub-suppliers: BrightForge Rings Pvt.</w:t>
            </w:r>
          </w:p>
        </w:tc>
      </w:tr>
      <w:tr>
        <w:tc>
          <w:tcPr>
            <w:tcW w:type="dxa" w:w="2160"/>
          </w:tcPr>
          <w:p>
            <w:r>
              <w:t>Payment Terms</w:t>
            </w:r>
          </w:p>
        </w:tc>
        <w:tc>
          <w:tcPr>
            <w:tcW w:type="dxa" w:w="2160"/>
          </w:tcPr>
          <w:p>
            <w:r>
              <w:t>All payments Net 30 days from invoice</w:t>
            </w:r>
          </w:p>
        </w:tc>
        <w:tc>
          <w:tcPr>
            <w:tcW w:type="dxa" w:w="2160"/>
          </w:tcPr>
          <w:p>
            <w:r>
              <w:t>Partially Met</w:t>
            </w:r>
          </w:p>
        </w:tc>
        <w:tc>
          <w:tcPr>
            <w:tcW w:type="dxa" w:w="2160"/>
          </w:tcPr>
          <w:p>
            <w:r>
              <w:t>Clause 00511.2.2 states: 'Buyer shall pay accepted invoices within thirty (30) days after receipt of a valid tax invoice.' However, the clause includes exceptions (disputed amounts) and modifies the timing trigger to start from the later acceptance record, not the invoice date.</w:t>
            </w:r>
          </w:p>
        </w:tc>
      </w:tr>
      <w:tr>
        <w:tc>
          <w:tcPr>
            <w:tcW w:type="dxa" w:w="2160"/>
          </w:tcPr>
          <w:p>
            <w:r>
              <w:t>Payment Terms</w:t>
            </w:r>
          </w:p>
        </w:tc>
        <w:tc>
          <w:tcPr>
            <w:tcW w:type="dxa" w:w="2160"/>
          </w:tcPr>
          <w:p>
            <w:r>
              <w:t>Partial delivery and invoicing allowed</w:t>
            </w:r>
          </w:p>
        </w:tc>
        <w:tc>
          <w:tcPr>
            <w:tcW w:type="dxa" w:w="2160"/>
          </w:tcPr>
          <w:p>
            <w:r>
              <w:t>Met</w:t>
            </w:r>
          </w:p>
        </w:tc>
        <w:tc>
          <w:tcPr>
            <w:tcW w:type="dxa" w:w="2160"/>
          </w:tcPr>
          <w:p>
            <w:r>
              <w:t>Clause 00511.2.3 explicitly permits 'Supplier may dispatch Lot A, Lot B, and Lot C separately and may raise a corresponding invoice for each completed lot.'</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Delayed payments due to complex invoice acceptance criteria.</w:t>
            </w:r>
          </w:p>
        </w:tc>
        <w:tc>
          <w:tcPr>
            <w:tcW w:type="dxa" w:w="1440"/>
          </w:tcPr>
          <w:p>
            <w:r>
              <w:t>The clause outlines a multi-stage payment schedule dependent on numerous conditions (PO acknowledgement, documents, guarantees, inspections). Failure to meet these requirements could delay invoice acceptance and subsequently, the advance payment tranche, creating significant cash flow risk. This directly impacts supplier relations and operational efficiency.</w:t>
            </w:r>
          </w:p>
        </w:tc>
        <w:tc>
          <w:tcPr>
            <w:tcW w:type="dxa" w:w="1440"/>
          </w:tcPr>
          <w:p>
            <w:r>
              <w:t>Simplify invoice acceptance process; define objective criteria for receipt and approval with a maximum 20-day timeframe.</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Increased performance security obligations exceeding the 10% limit.</w:t>
            </w:r>
          </w:p>
        </w:tc>
        <w:tc>
          <w:tcPr>
            <w:tcW w:type="dxa" w:w="1440"/>
          </w:tcPr>
          <w:p>
            <w:r>
              <w:t>The supplier has provided a bridge guarantee of 2%, alongside a standard guarantee of 10%. This results in a total security obligation of 12%, representing an unacceptable breach of the specified requirement. This exposes the buyer to unnecessary financial risk and potential disputes.</w:t>
            </w:r>
          </w:p>
        </w:tc>
        <w:tc>
          <w:tcPr>
            <w:tcW w:type="dxa" w:w="1440"/>
          </w:tcPr>
          <w:p>
            <w:r>
              <w:t>Reduce total performance security to a maximum of 10 percent including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Potential for increased liquidated damages exposure due to aggregate cap.</w:t>
            </w:r>
          </w:p>
        </w:tc>
        <w:tc>
          <w:tcPr>
            <w:tcW w:type="dxa" w:w="1440"/>
          </w:tcPr>
          <w:p>
            <w:r>
              <w:t>The 7.5% aggregate delay exposure cap significantly limits potential damages, creating a risk that unforeseen delays could result in substantially reduced compensation. This impacts the supplier's financial position and potentially weakens their incentive for timely delivery.</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Supplier may seek increased liquidated damages claims.</w:t>
            </w:r>
          </w:p>
        </w:tc>
        <w:tc>
          <w:tcPr>
            <w:tcW w:type="dxa" w:w="1440"/>
          </w:tcPr>
          <w:p>
            <w:r>
              <w:t>The clause contains multiple caps on LD exposure (5% equipment, 7.5% total) creating uncertainty regarding the maximum potential payment obligation. The aggregate cap overrides lower general caps, increasing this risk.</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Potential for significant liquidated damages exposure due to aggregate cap.</w:t>
            </w:r>
          </w:p>
        </w:tc>
        <w:tc>
          <w:tcPr>
            <w:tcW w:type="dxa" w:w="1440"/>
          </w:tcPr>
          <w:p>
            <w:r>
              <w:t>The clause establishes a tiered LD structure (0.5% weekly, capped at 5%) and an overall 7.5% aggregate cap. This creates uncertainty regarding the maximum potential cost if delays persist across multiple categories, particularly with critical dispatch documents or service credits.</w:t>
            </w:r>
          </w:p>
        </w:tc>
        <w:tc>
          <w:tcPr>
            <w:tcW w:type="dxa" w:w="1440"/>
          </w:tcPr>
          <w:p>
            <w:r>
              <w:t>Reduce aggregate delay exposure to a maximum of 5 percent of total Purchase Order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Supplier may accrue excessive liquidated damages exceeding the 5% PO limit.</w:t>
            </w:r>
          </w:p>
        </w:tc>
        <w:tc>
          <w:tcPr>
            <w:tcW w:type="dxa" w:w="1440"/>
          </w:tcPr>
          <w:p>
            <w:r>
              <w:t>The clause establishes a 7.5% aggregate cap on LD and service credits, overriding any lower general caps. This creates a significant payment risk if delays trigger this higher exposure, potentially resulting in substantial financial liability for the buyer.</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Supplier exposed to escalating liquidated damages beyond 5% of undelivered value.</w:t>
            </w:r>
          </w:p>
        </w:tc>
        <w:tc>
          <w:tcPr>
            <w:tcW w:type="dxa" w:w="1440"/>
          </w:tcPr>
          <w:p>
            <w:r>
              <w:t>The clause establishes a 0.5% per week LD, capped at 5%, creating potential for significant financial exposure if delays persist. The aggregate cap of 7.5% adds further uncertainty.</w:t>
            </w:r>
          </w:p>
        </w:tc>
        <w:tc>
          <w:tcPr>
            <w:tcW w:type="dxa" w:w="1440"/>
          </w:tcPr>
          <w:p>
            <w:r>
              <w:t>Reduce the liquidated damages cap to a maximum of 5 percent of undelivered value.</w:t>
            </w:r>
          </w:p>
        </w:tc>
      </w:tr>
      <w:tr>
        <w:tc>
          <w:tcPr>
            <w:tcW w:type="dxa" w:w="1440"/>
          </w:tcPr>
          <w:p>
            <w:r>
              <w:t>Guarantee</w:t>
            </w:r>
          </w:p>
        </w:tc>
        <w:tc>
          <w:tcPr>
            <w:tcW w:type="dxa" w:w="1440"/>
          </w:tcPr>
          <w:p>
            <w:r>
              <w:t>Warranty period defined</w:t>
            </w:r>
          </w:p>
        </w:tc>
        <w:tc>
          <w:tcPr>
            <w:tcW w:type="dxa" w:w="1440"/>
          </w:tcPr>
          <w:p>
            <w:r>
              <w:t>Amber</w:t>
            </w:r>
          </w:p>
        </w:tc>
        <w:tc>
          <w:tcPr>
            <w:tcW w:type="dxa" w:w="1440"/>
          </w:tcPr>
          <w:p>
            <w:r>
              <w:t>Extended guarantee period creates potential cost overruns.</w:t>
            </w:r>
          </w:p>
        </w:tc>
        <w:tc>
          <w:tcPr>
            <w:tcW w:type="dxa" w:w="1440"/>
          </w:tcPr>
          <w:p>
            <w:r>
              <w:t>The remedial guarantee of twelve months (or eighteen months from dispatch) alongside the standard two-month guarantee presents a prolonged warranty liability. This significantly increases the risk of future repair claims and associated costs, particularly if defects are not immediately identified.</w:t>
            </w:r>
          </w:p>
        </w:tc>
        <w:tc>
          <w:tcPr>
            <w:tcW w:type="dxa" w:w="1440"/>
          </w:tcPr>
          <w:p>
            <w:r>
              <w:t>Limit the guaranteed period to the shortest relevant timeframe – either successful commissioning or eighteen months from dispatch.</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Extended guarantee period creates uncertainty regarding coverage duration.</w:t>
            </w:r>
          </w:p>
        </w:tc>
        <w:tc>
          <w:tcPr>
            <w:tcW w:type="dxa" w:w="1440"/>
          </w:tcPr>
          <w:p>
            <w:r>
              <w:t>The clause provides a guaranteed period of either two months or eighteen months from dispatch, whichever is shorter. This creates uncertainty as the effective guarantee duration depends on the timing of commissioning and dispatch, potentially leading to disputes over coverage length. This impacts warranty obligations and associated costs.</w:t>
            </w:r>
          </w:p>
        </w:tc>
        <w:tc>
          <w:tcPr>
            <w:tcW w:type="dxa" w:w="1440"/>
          </w:tcPr>
          <w:p>
            <w:r>
              <w:t>Limit standard guarantee to 18 months from dispatch; maintain twelve-month remedial guarantee.</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Partially met guarantee creates extended liability risk.</w:t>
            </w:r>
          </w:p>
        </w:tc>
        <w:tc>
          <w:tcPr>
            <w:tcW w:type="dxa" w:w="1440"/>
          </w:tcPr>
          <w:p>
            <w:r>
              <w:t>The remedial guarantee extending twelve months beyond dispatch, coupled with the eighteen-month standard guarantee, introduces significant and prolonged warranty obligations. This exposes the buyer to potential long-term repair or replacement costs, significantly increasing overall financial exposure if defects are discovered.</w:t>
            </w:r>
          </w:p>
        </w:tc>
        <w:tc>
          <w:tcPr>
            <w:tcW w:type="dxa" w:w="1440"/>
          </w:tcPr>
          <w:p>
            <w:r>
              <w:t>Restrict the remedial guarantee period to the shorter of eight (8) months from original dispatch and two (2) months from provisional commissioning.</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Limited Force Majeure protection for sub-suppliers increases risk.</w:t>
            </w:r>
          </w:p>
        </w:tc>
        <w:tc>
          <w:tcPr>
            <w:tcW w:type="dxa" w:w="1440"/>
          </w:tcPr>
          <w:p>
            <w:r>
              <w:t>The clause restricts Force Majeure relief to Tier-1 suppliers and logistics carriers, excluding other subcontractors. This creates a vulnerability if events impacting these specific parties disrupt the supply chain, potentially leading to delays and increased costs without coverage.</w:t>
            </w:r>
          </w:p>
        </w:tc>
        <w:tc>
          <w:tcPr>
            <w:tcW w:type="dxa" w:w="1440"/>
          </w:tcPr>
          <w:p>
            <w:r>
              <w:t>Expand Force Majeure protection to include all approved sub-suppliers and logistics providers.</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Subcontractor force majeure claims could disrupt supply.</w:t>
            </w:r>
          </w:p>
        </w:tc>
        <w:tc>
          <w:tcPr>
            <w:tcW w:type="dxa" w:w="1440"/>
          </w:tcPr>
          <w:p>
            <w:r>
              <w:t>The clause only covers named Tier-1 suppliers and approved logistics, excluding unnamed subcontractors. This creates a significant risk of delays or non-performance by critical sub-suppliers impacting overall project delivery, triggering potential breach of contract claims.</w:t>
            </w:r>
          </w:p>
        </w:tc>
        <w:tc>
          <w:tcPr>
            <w:tcW w:type="dxa" w:w="1440"/>
          </w:tcPr>
          <w:p>
            <w:r>
              <w:t>Require inclusion of force majeure protection for all subcontractors via an amendment to Article 00511.7.2.</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Limited Force Majeure scope creates potential payment delays.</w:t>
            </w:r>
          </w:p>
        </w:tc>
        <w:tc>
          <w:tcPr>
            <w:tcW w:type="dxa" w:w="1440"/>
          </w:tcPr>
          <w:p>
            <w:r>
              <w:t>The clause's restricted application to Tier-1 suppliers and logistics carriers exposes the buyer to significant disruption risk if these specific entities experience Force Majeure events. This could delay deliveries, triggering breach of contract claims for non-performance with limited recourse.</w:t>
            </w:r>
          </w:p>
        </w:tc>
        <w:tc>
          <w:tcPr>
            <w:tcW w:type="dxa" w:w="1440"/>
          </w:tcPr>
          <w:p>
            <w:r>
              <w:t>Expand Force Majeure protection to include all approved sub-suppliers and logistics providers, aligning with broader supply chain resilience.</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Delayed payment due to escalating cancellation fees.</w:t>
            </w:r>
          </w:p>
        </w:tc>
        <w:tc>
          <w:tcPr>
            <w:tcW w:type="dxa" w:w="1440"/>
          </w:tcPr>
          <w:p>
            <w:r>
              <w:t>The clause establishes a tiered fee schedule based on the length of time after convenience cancellation, increasing significantly beyond 90 days. This creates a cash flow risk for the Supplier if the Buyer exercises this right, particularly with longer delays.</w:t>
            </w:r>
          </w:p>
        </w:tc>
        <w:tc>
          <w:tcPr>
            <w:tcW w:type="dxa" w:w="1440"/>
          </w:tcPr>
          <w:p>
            <w:r>
              <w:t>Implement rigorous PO tracking and proactive communication to minimize potential cancellation scenarios and associated delay impacts.</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Termination fee liability exposes the company to significant financial risk.</w:t>
            </w:r>
          </w:p>
        </w:tc>
        <w:tc>
          <w:tcPr>
            <w:tcW w:type="dxa" w:w="1440"/>
          </w:tcPr>
          <w:p>
            <w:r>
              <w:t>The escalating percentage schedule for convenience termination fees based on days past acknowledgement creates a substantial exposure. The longer the delay in cancellation, the higher the cost, potentially creating a material cash flow issue and impacting profitability.</w:t>
            </w:r>
          </w:p>
        </w:tc>
        <w:tc>
          <w:tcPr>
            <w:tcW w:type="dxa" w:w="1440"/>
          </w:tcPr>
          <w:p>
            <w:r>
              <w:t>Cap the overall termination fee at a fixed dollar amount aligned with industry standards and mitigate potential disputes regarding default status.</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Potential for significant cancellation fees due to non-compliance.</w:t>
            </w:r>
          </w:p>
        </w:tc>
        <w:tc>
          <w:tcPr>
            <w:tcW w:type="dxa" w:w="1440"/>
          </w:tcPr>
          <w:p>
            <w:r>
              <w:t>The supplier failed to meet the required cancellation fee schedule. The 40% fee applies based on the 61-90 day timeframe, representing a substantial financial exposure for the buyer. This exposes the buyer to unnecessary costs and potential cash flow difficulties.</w:t>
            </w:r>
          </w:p>
        </w:tc>
        <w:tc>
          <w:tcPr>
            <w:tcW w:type="dxa" w:w="1440"/>
          </w:tcPr>
          <w:p>
            <w:r>
              <w:t>Require immediate confirmation of payment terms with the supplier reflecting the 61-90 day cancellation fee schedule.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Potential for excessive suspension costs and change order impacts.</w:t>
            </w:r>
          </w:p>
        </w:tc>
        <w:tc>
          <w:tcPr>
            <w:tcW w:type="dxa" w:w="1440"/>
          </w:tcPr>
          <w:p>
            <w:r>
              <w:t>The clause allows for up to two commercial convenience suspensions totaling 30 days, excluding regulatory stoppages. The 'excess suspension' provision creates a risk of significant compensation obligations if the limit is exceeded, potentially impacting cash flow and profitability.</w:t>
            </w:r>
          </w:p>
        </w:tc>
        <w:tc>
          <w:tcPr>
            <w:tcW w:type="dxa" w:w="1440"/>
          </w:tcPr>
          <w:p>
            <w:r>
              <w:t>Clarify definition of 'commercial convenience' to minimize subjective interpretations.</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Buyer's discretionary suspension limits create potential cash flow disruption.</w:t>
            </w:r>
          </w:p>
        </w:tc>
        <w:tc>
          <w:tcPr>
            <w:tcW w:type="dxa" w:w="1440"/>
          </w:tcPr>
          <w:p>
            <w:r>
              <w:t>The clause allows for two commercial convenience suspensions up to 30 days, contingent on supplier agreement. Exceeding this limit triggers a compensable change order, potentially leading to unforeseen costs and schedule impacts if the supplier isn't prepared.</w:t>
            </w:r>
          </w:p>
        </w:tc>
        <w:tc>
          <w:tcPr>
            <w:tcW w:type="dxa" w:w="1440"/>
          </w:tcPr>
          <w:p>
            <w:r>
              <w:t>Establish clear criteria for triggering suspension beyond the agreed limits and require prior written approval from the Buyer.</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Increased jurisdictional and arbitration risks due to India governance.</w:t>
            </w:r>
          </w:p>
        </w:tc>
        <w:tc>
          <w:tcPr>
            <w:tcW w:type="dxa" w:w="1440"/>
          </w:tcPr>
          <w:p>
            <w:r>
              <w:t>The clause dictates Indian law, potentially impacting interpretation and enforcement. Arbitration in Singapore introduces complexities and costs compared to a familiar legal framework. This could escalate dispute resolution timelines and expenses significantly.</w:t>
            </w:r>
          </w:p>
        </w:tc>
        <w:tc>
          <w:tcPr>
            <w:tcW w:type="dxa" w:w="1440"/>
          </w:tcPr>
          <w:p>
            <w:r>
              <w:t>Specify governing law as [Preferred Jurisdiction - e.g., Delaware] with arbitration seated in [Preferred Location – e.g., New York] under SIAC Rules.</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Potential for increased arbitration costs and delays.</w:t>
            </w:r>
          </w:p>
        </w:tc>
        <w:tc>
          <w:tcPr>
            <w:tcW w:type="dxa" w:w="1440"/>
          </w:tcPr>
          <w:p>
            <w:r>
              <w:t>The tiered dispute resolution process, involving a technical expert in Mumbai followed by Singapore arbitration, introduces complexity. This increases the potential for disputes to escalate through multiple stages, leading to higher legal fees and prolonged timelines.</w:t>
            </w:r>
          </w:p>
        </w:tc>
        <w:tc>
          <w:tcPr>
            <w:tcW w:type="dxa" w:w="1440"/>
          </w:tcPr>
          <w:p>
            <w:r>
              <w:t>Implement a clear protocol for managing technical disputes with expedited escalation procedures to minimize delays.</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Potential for increased arbitration costs and delays.</w:t>
            </w:r>
          </w:p>
        </w:tc>
        <w:tc>
          <w:tcPr>
            <w:tcW w:type="dxa" w:w="1440"/>
          </w:tcPr>
          <w:p>
            <w:r>
              <w:t>The phased dispute resolution process, involving a technical expert in Mumbai followed by arbitration in Singapore, introduces complexity. Delays stemming from the initial expert determination could lead to extended legal proceedings and associated expenses in both jurisdictions. This increases operational risk.</w:t>
            </w:r>
          </w:p>
        </w:tc>
        <w:tc>
          <w:tcPr>
            <w:tcW w:type="dxa" w:w="1440"/>
          </w:tcPr>
          <w:p>
            <w:r>
              <w:t>Implement a clear escalation protocol with time-bound deadlines for each stage of the dispute resolution process.</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Reduced liability cap exposes the buyer to significant financial loss.</w:t>
            </w:r>
          </w:p>
        </w:tc>
        <w:tc>
          <w:tcPr>
            <w:tcW w:type="dxa" w:w="1440"/>
          </w:tcPr>
          <w:p>
            <w:r>
              <w:t>The clause limits supplier liability to 10% of the PO value, but excludes direct costs of emergency removal, re-installation, or temporary site stabilization if a safety shutdown occurs. This creates a substantial gap in coverage for potentially very high remediation expenses, impacting financial exposure.</w:t>
            </w:r>
          </w:p>
        </w:tc>
        <w:tc>
          <w:tcPr>
            <w:tcW w:type="dxa" w:w="1440"/>
          </w:tcPr>
          <w:p>
            <w:r>
              <w:t>Require a minimum liability cap covering all costs associated with a 'safety shutdown' regardless of whether it triggered an excluded cost.</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Exposure to significant consequential damages claims remains.</w:t>
            </w:r>
          </w:p>
        </w:tc>
        <w:tc>
          <w:tcPr>
            <w:tcW w:type="dxa" w:w="1440"/>
          </w:tcPr>
          <w:p>
            <w:r>
              <w:t>While the clause excludes many types of damages, exceptions exist for specific circumstances such as confidentiality breaches and willful misconduct. This leaves the client vulnerable if these exceptions are triggered, leading to potentially substantial financial loss.</w:t>
            </w:r>
          </w:p>
        </w:tc>
        <w:tc>
          <w:tcPr>
            <w:tcW w:type="dxa" w:w="1440"/>
          </w:tcPr>
          <w:p>
            <w:r>
              <w:t>Require detailed operational impact assessments prior to contract execution and implement enhanced monitoring protocols.</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Potential for significant liability exposure due to exclusions.</w:t>
            </w:r>
          </w:p>
        </w:tc>
        <w:tc>
          <w:tcPr>
            <w:tcW w:type="dxa" w:w="1440"/>
          </w:tcPr>
          <w:p>
            <w:r>
              <w:t>The clause excludes consequential damages, but numerous exceptions (fraud, gross negligence, etc.) significantly limit its protective effect. This exposes the client to unforeseen losses beyond direct damages.</w:t>
            </w:r>
          </w:p>
        </w:tc>
        <w:tc>
          <w:tcPr>
            <w:tcW w:type="dxa" w:w="1440"/>
          </w:tcPr>
          <w:p>
            <w:r>
              <w:t>Require detailed definitions of covered events and explicitly exclude potential liabilities such as fraud or willful misconduct.</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Delayed payments due to acceptance exceptions and timing.</w:t>
            </w:r>
          </w:p>
        </w:tc>
        <w:tc>
          <w:tcPr>
            <w:tcW w:type="dxa" w:w="1440"/>
          </w:tcPr>
          <w:p>
            <w:r>
              <w:t>The clause's exceptions and modified trigger date create uncertainty regarding when payment is due, increasing the risk of late payment penalties or disputes. This introduces cash flow instability and potential supplier dissatisfaction.</w:t>
            </w:r>
          </w:p>
        </w:tc>
        <w:tc>
          <w:tcPr>
            <w:tcW w:type="dxa" w:w="1440"/>
          </w:tcPr>
          <w:p>
            <w:r>
              <w:t>Clarify 'acceptance' definition with objective criteria and specify payment date as 30 days from invoice receipt.</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Simplify invoice acceptance process; define objective criteria for receipt and approval with a maximum 20-day timeframe.</w:t>
            </w:r>
          </w:p>
        </w:tc>
      </w:tr>
      <w:tr>
        <w:tc>
          <w:tcPr>
            <w:tcW w:type="dxa" w:w="2880"/>
          </w:tcPr>
          <w:p>
            <w:r>
              <w:t>Bank Guarantees</w:t>
            </w:r>
          </w:p>
        </w:tc>
        <w:tc>
          <w:tcPr>
            <w:tcW w:type="dxa" w:w="2880"/>
          </w:tcPr>
          <w:p>
            <w:r>
              <w:t>Performance Guarantee not exceeding 10%</w:t>
            </w:r>
          </w:p>
        </w:tc>
        <w:tc>
          <w:tcPr>
            <w:tcW w:type="dxa" w:w="2880"/>
          </w:tcPr>
          <w:p>
            <w:r>
              <w:t>Reduce total performance security to a maximum of 10 percent including bridge guarantees.</w:t>
            </w:r>
          </w:p>
        </w:tc>
      </w:tr>
      <w:tr>
        <w:tc>
          <w:tcPr>
            <w:tcW w:type="dxa" w:w="2880"/>
          </w:tcPr>
          <w:p>
            <w:r>
              <w:t>Liquidated Damages</w:t>
            </w:r>
          </w:p>
        </w:tc>
        <w:tc>
          <w:tcPr>
            <w:tcW w:type="dxa" w:w="2880"/>
          </w:tcPr>
          <w:p>
            <w:r>
              <w:t>Documentation LD not applicable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0.5% per week</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capped at 5%</w:t>
            </w:r>
          </w:p>
        </w:tc>
        <w:tc>
          <w:tcPr>
            <w:tcW w:type="dxa" w:w="2880"/>
          </w:tcPr>
          <w:p>
            <w:r>
              <w:t>Reduce aggregate delay exposure to a maximum of 5 percent of total Purchase Order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Remedial Work LD not applicable</w:t>
            </w:r>
          </w:p>
        </w:tc>
        <w:tc>
          <w:tcPr>
            <w:tcW w:type="dxa" w:w="2880"/>
          </w:tcPr>
          <w:p>
            <w:r>
              <w:t>Reduce the liquidated damages cap to a maximum of 5 percent of undelivered value.</w:t>
            </w:r>
          </w:p>
        </w:tc>
      </w:tr>
      <w:tr>
        <w:tc>
          <w:tcPr>
            <w:tcW w:type="dxa" w:w="2880"/>
          </w:tcPr>
          <w:p>
            <w:r>
              <w:t>Guarantee</w:t>
            </w:r>
          </w:p>
        </w:tc>
        <w:tc>
          <w:tcPr>
            <w:tcW w:type="dxa" w:w="2880"/>
          </w:tcPr>
          <w:p>
            <w:r>
              <w:t>Warranty period defined</w:t>
            </w:r>
          </w:p>
        </w:tc>
        <w:tc>
          <w:tcPr>
            <w:tcW w:type="dxa" w:w="2880"/>
          </w:tcPr>
          <w:p>
            <w:r>
              <w:t>Limit the guaranteed period to the shortest relevant timeframe – either successful commissioning or eighteen months from dispatch.</w:t>
            </w:r>
          </w:p>
        </w:tc>
      </w:tr>
      <w:tr>
        <w:tc>
          <w:tcPr>
            <w:tcW w:type="dxa" w:w="2880"/>
          </w:tcPr>
          <w:p>
            <w:r>
              <w:t>Guarantee</w:t>
            </w:r>
          </w:p>
        </w:tc>
        <w:tc>
          <w:tcPr>
            <w:tcW w:type="dxa" w:w="2880"/>
          </w:tcPr>
          <w:p>
            <w:r>
              <w:t>2 months from commissioning or 18 months from dispatch</w:t>
            </w:r>
          </w:p>
        </w:tc>
        <w:tc>
          <w:tcPr>
            <w:tcW w:type="dxa" w:w="2880"/>
          </w:tcPr>
          <w:p>
            <w:r>
              <w:t>Limit standard guarantee to 18 months from dispatch; maintain twelve-month remedial guarantee.</w:t>
            </w:r>
          </w:p>
        </w:tc>
      </w:tr>
      <w:tr>
        <w:tc>
          <w:tcPr>
            <w:tcW w:type="dxa" w:w="2880"/>
          </w:tcPr>
          <w:p>
            <w:r>
              <w:t>Guarantee</w:t>
            </w:r>
          </w:p>
        </w:tc>
        <w:tc>
          <w:tcPr>
            <w:tcW w:type="dxa" w:w="2880"/>
          </w:tcPr>
          <w:p>
            <w:r>
              <w:t>Repair/replacement warranty obligations defined</w:t>
            </w:r>
          </w:p>
        </w:tc>
        <w:tc>
          <w:tcPr>
            <w:tcW w:type="dxa" w:w="2880"/>
          </w:tcPr>
          <w:p>
            <w:r>
              <w:t>Restrict the remedial guarantee period to the shorter of eight (8) months from original dispatch and two (2) months from provisional commissioning.</w:t>
            </w:r>
          </w:p>
        </w:tc>
      </w:tr>
      <w:tr>
        <w:tc>
          <w:tcPr>
            <w:tcW w:type="dxa" w:w="2880"/>
          </w:tcPr>
          <w:p>
            <w:r>
              <w:t>Force Majeure</w:t>
            </w:r>
          </w:p>
        </w:tc>
        <w:tc>
          <w:tcPr>
            <w:tcW w:type="dxa" w:w="2880"/>
          </w:tcPr>
          <w:p>
            <w:r>
              <w:t>Force majeure events defined</w:t>
            </w:r>
          </w:p>
        </w:tc>
        <w:tc>
          <w:tcPr>
            <w:tcW w:type="dxa" w:w="2880"/>
          </w:tcPr>
          <w:p>
            <w:r>
              <w:t>Expand Force Majeure protection to include all approved sub-suppliers and logistics providers.</w:t>
            </w:r>
          </w:p>
        </w:tc>
      </w:tr>
      <w:tr>
        <w:tc>
          <w:tcPr>
            <w:tcW w:type="dxa" w:w="2880"/>
          </w:tcPr>
          <w:p>
            <w:r>
              <w:t>Force Majeure</w:t>
            </w:r>
          </w:p>
        </w:tc>
        <w:tc>
          <w:tcPr>
            <w:tcW w:type="dxa" w:w="2880"/>
          </w:tcPr>
          <w:p>
            <w:r>
              <w:t>Applies to subcontractors</w:t>
            </w:r>
          </w:p>
        </w:tc>
        <w:tc>
          <w:tcPr>
            <w:tcW w:type="dxa" w:w="2880"/>
          </w:tcPr>
          <w:p>
            <w:r>
              <w:t>Require inclusion of force majeure protection for all subcontractors via an amendment to Article 00511.7.2.</w:t>
            </w:r>
          </w:p>
        </w:tc>
      </w:tr>
      <w:tr>
        <w:tc>
          <w:tcPr>
            <w:tcW w:type="dxa" w:w="2880"/>
          </w:tcPr>
          <w:p>
            <w:r>
              <w:t>Force Majeure</w:t>
            </w:r>
          </w:p>
        </w:tc>
        <w:tc>
          <w:tcPr>
            <w:tcW w:type="dxa" w:w="2880"/>
          </w:tcPr>
          <w:p>
            <w:r>
              <w:t>Notice obligations defined</w:t>
            </w:r>
          </w:p>
        </w:tc>
        <w:tc>
          <w:tcPr>
            <w:tcW w:type="dxa" w:w="2880"/>
          </w:tcPr>
          <w:p>
            <w:r>
              <w:t>Expand Force Majeure protection to include all approved sub-suppliers and logistics providers, aligning with broader supply chain resilience.</w:t>
            </w:r>
          </w:p>
        </w:tc>
      </w:tr>
      <w:tr>
        <w:tc>
          <w:tcPr>
            <w:tcW w:type="dxa" w:w="2880"/>
          </w:tcPr>
          <w:p>
            <w:r>
              <w:t>Termination</w:t>
            </w:r>
          </w:p>
        </w:tc>
        <w:tc>
          <w:tcPr>
            <w:tcW w:type="dxa" w:w="2880"/>
          </w:tcPr>
          <w:p>
            <w:r>
              <w:t>Termination rights defined</w:t>
            </w:r>
          </w:p>
        </w:tc>
        <w:tc>
          <w:tcPr>
            <w:tcW w:type="dxa" w:w="2880"/>
          </w:tcPr>
          <w:p>
            <w:r>
              <w:t>Implement rigorous PO tracking and proactive communication to minimize potential cancellation scenarios and associated delay impacts.</w:t>
            </w:r>
          </w:p>
        </w:tc>
      </w:tr>
      <w:tr>
        <w:tc>
          <w:tcPr>
            <w:tcW w:type="dxa" w:w="2880"/>
          </w:tcPr>
          <w:p>
            <w:r>
              <w:t>Termination</w:t>
            </w:r>
          </w:p>
        </w:tc>
        <w:tc>
          <w:tcPr>
            <w:tcW w:type="dxa" w:w="2880"/>
          </w:tcPr>
          <w:p>
            <w:r>
              <w:t>Cancellation fee structure defined</w:t>
            </w:r>
          </w:p>
        </w:tc>
        <w:tc>
          <w:tcPr>
            <w:tcW w:type="dxa" w:w="2880"/>
          </w:tcPr>
          <w:p>
            <w:r>
              <w:t>Cap the overall termination fee at a fixed dollar amount aligned with industry standards and mitigate potential disputes regarding default status.</w:t>
            </w:r>
          </w:p>
        </w:tc>
      </w:tr>
      <w:tr>
        <w:tc>
          <w:tcPr>
            <w:tcW w:type="dxa" w:w="2880"/>
          </w:tcPr>
          <w:p>
            <w:r>
              <w:t>Termination</w:t>
            </w:r>
          </w:p>
        </w:tc>
        <w:tc>
          <w:tcPr>
            <w:tcW w:type="dxa" w:w="2880"/>
          </w:tcPr>
          <w:p>
            <w:r>
              <w:t>61-90 day cancellation fee 40%</w:t>
            </w:r>
          </w:p>
        </w:tc>
        <w:tc>
          <w:tcPr>
            <w:tcW w:type="dxa" w:w="2880"/>
          </w:tcPr>
          <w:p>
            <w:r>
              <w:t>Require immediate confirmation of payment terms with the supplier reflecting the 61-90 day cancellation fee schedule.</w:t>
            </w:r>
          </w:p>
        </w:tc>
      </w:tr>
      <w:tr>
        <w:tc>
          <w:tcPr>
            <w:tcW w:type="dxa" w:w="2880"/>
          </w:tcPr>
          <w:p>
            <w:r>
              <w:t>Suspension</w:t>
            </w:r>
          </w:p>
        </w:tc>
        <w:tc>
          <w:tcPr>
            <w:tcW w:type="dxa" w:w="2880"/>
          </w:tcPr>
          <w:p>
            <w:r>
              <w:t>Maximum 2 suspensions and 30 days aggregate</w:t>
            </w:r>
          </w:p>
        </w:tc>
        <w:tc>
          <w:tcPr>
            <w:tcW w:type="dxa" w:w="2880"/>
          </w:tcPr>
          <w:p>
            <w:r>
              <w:t>Clarify definition of 'commercial convenience' to minimize subjective interpretations.</w:t>
            </w:r>
          </w:p>
        </w:tc>
      </w:tr>
      <w:tr>
        <w:tc>
          <w:tcPr>
            <w:tcW w:type="dxa" w:w="2880"/>
          </w:tcPr>
          <w:p>
            <w:r>
              <w:t>Suspension</w:t>
            </w:r>
          </w:p>
        </w:tc>
        <w:tc>
          <w:tcPr>
            <w:tcW w:type="dxa" w:w="2880"/>
          </w:tcPr>
          <w:p>
            <w:r>
              <w:t>Supplier obligations during suspension defined</w:t>
            </w:r>
          </w:p>
        </w:tc>
        <w:tc>
          <w:tcPr>
            <w:tcW w:type="dxa" w:w="2880"/>
          </w:tcPr>
          <w:p>
            <w:r>
              <w:t>Establish clear criteria for triggering suspension beyond the agreed limits and require prior written approval from the Buyer.</w:t>
            </w:r>
          </w:p>
        </w:tc>
      </w:tr>
      <w:tr>
        <w:tc>
          <w:tcPr>
            <w:tcW w:type="dxa" w:w="2880"/>
          </w:tcPr>
          <w:p>
            <w:r>
              <w:t>Governing Law</w:t>
            </w:r>
          </w:p>
        </w:tc>
        <w:tc>
          <w:tcPr>
            <w:tcW w:type="dxa" w:w="2880"/>
          </w:tcPr>
          <w:p>
            <w:r>
              <w:t>Applicable law specified</w:t>
            </w:r>
          </w:p>
        </w:tc>
        <w:tc>
          <w:tcPr>
            <w:tcW w:type="dxa" w:w="2880"/>
          </w:tcPr>
          <w:p>
            <w:r>
              <w:t>Specify governing law as [Preferred Jurisdiction - e.g., Delaware] with arbitration seated in [Preferred Location – e.g., New York] under SIAC Rules.</w:t>
            </w:r>
          </w:p>
        </w:tc>
      </w:tr>
      <w:tr>
        <w:tc>
          <w:tcPr>
            <w:tcW w:type="dxa" w:w="2880"/>
          </w:tcPr>
          <w:p>
            <w:r>
              <w:t>Dispute Resolution</w:t>
            </w:r>
          </w:p>
        </w:tc>
        <w:tc>
          <w:tcPr>
            <w:tcW w:type="dxa" w:w="2880"/>
          </w:tcPr>
          <w:p>
            <w:r>
              <w:t>Arbitration mechanism defined</w:t>
            </w:r>
          </w:p>
        </w:tc>
        <w:tc>
          <w:tcPr>
            <w:tcW w:type="dxa" w:w="2880"/>
          </w:tcPr>
          <w:p>
            <w:r>
              <w:t>Implement a clear protocol for managing technical disputes with expedited escalation procedures to minimize delays.</w:t>
            </w:r>
          </w:p>
        </w:tc>
      </w:tr>
      <w:tr>
        <w:tc>
          <w:tcPr>
            <w:tcW w:type="dxa" w:w="2880"/>
          </w:tcPr>
          <w:p>
            <w:r>
              <w:t>Dispute Resolution</w:t>
            </w:r>
          </w:p>
        </w:tc>
        <w:tc>
          <w:tcPr>
            <w:tcW w:type="dxa" w:w="2880"/>
          </w:tcPr>
          <w:p>
            <w:r>
              <w:t>Seat of arbitration specified</w:t>
            </w:r>
          </w:p>
        </w:tc>
        <w:tc>
          <w:tcPr>
            <w:tcW w:type="dxa" w:w="2880"/>
          </w:tcPr>
          <w:p>
            <w:r>
              <w:t>Implement a clear escalation protocol with time-bound deadlines for each stage of the dispute resolution process.</w:t>
            </w:r>
          </w:p>
        </w:tc>
      </w:tr>
      <w:tr>
        <w:tc>
          <w:tcPr>
            <w:tcW w:type="dxa" w:w="2880"/>
          </w:tcPr>
          <w:p>
            <w:r>
              <w:t>Liability</w:t>
            </w:r>
          </w:p>
        </w:tc>
        <w:tc>
          <w:tcPr>
            <w:tcW w:type="dxa" w:w="2880"/>
          </w:tcPr>
          <w:p>
            <w:r>
              <w:t>Liability carve-outs defined</w:t>
            </w:r>
          </w:p>
        </w:tc>
        <w:tc>
          <w:tcPr>
            <w:tcW w:type="dxa" w:w="2880"/>
          </w:tcPr>
          <w:p>
            <w:r>
              <w:t>Require a minimum liability cap covering all costs associated with a 'safety shutdown' regardless of whether it triggered an excluded cost.</w:t>
            </w:r>
          </w:p>
        </w:tc>
      </w:tr>
      <w:tr>
        <w:tc>
          <w:tcPr>
            <w:tcW w:type="dxa" w:w="2880"/>
          </w:tcPr>
          <w:p>
            <w:r>
              <w:t>Consequential Damages</w:t>
            </w:r>
          </w:p>
        </w:tc>
        <w:tc>
          <w:tcPr>
            <w:tcW w:type="dxa" w:w="2880"/>
          </w:tcPr>
          <w:p>
            <w:r>
              <w:t>Consequential damages excluded</w:t>
            </w:r>
          </w:p>
        </w:tc>
        <w:tc>
          <w:tcPr>
            <w:tcW w:type="dxa" w:w="2880"/>
          </w:tcPr>
          <w:p>
            <w:r>
              <w:t>Require detailed operational impact assessments prior to contract execution and implement enhanced monitoring protocols.</w:t>
            </w:r>
          </w:p>
        </w:tc>
      </w:tr>
      <w:tr>
        <w:tc>
          <w:tcPr>
            <w:tcW w:type="dxa" w:w="2880"/>
          </w:tcPr>
          <w:p>
            <w:r>
              <w:t>Consequential Damages</w:t>
            </w:r>
          </w:p>
        </w:tc>
        <w:tc>
          <w:tcPr>
            <w:tcW w:type="dxa" w:w="2880"/>
          </w:tcPr>
          <w:p>
            <w:r>
              <w:t>Exceptions to exclusion defined</w:t>
            </w:r>
          </w:p>
        </w:tc>
        <w:tc>
          <w:tcPr>
            <w:tcW w:type="dxa" w:w="2880"/>
          </w:tcPr>
          <w:p>
            <w:r>
              <w:t>Require detailed definitions of covered events and explicitly exclude potential liabilities such as fraud or willful misconduct.</w:t>
            </w:r>
          </w:p>
        </w:tc>
      </w:tr>
      <w:tr>
        <w:tc>
          <w:tcPr>
            <w:tcW w:type="dxa" w:w="2880"/>
          </w:tcPr>
          <w:p>
            <w:r>
              <w:t>Payment Terms</w:t>
            </w:r>
          </w:p>
        </w:tc>
        <w:tc>
          <w:tcPr>
            <w:tcW w:type="dxa" w:w="2880"/>
          </w:tcPr>
          <w:p>
            <w:r>
              <w:t>All payments Net 30 days from invoice</w:t>
            </w:r>
          </w:p>
        </w:tc>
        <w:tc>
          <w:tcPr>
            <w:tcW w:type="dxa" w:w="2880"/>
          </w:tcPr>
          <w:p>
            <w:r>
              <w:t>Clarify 'acceptance' definition with objective criteria and specify payment date as 30 days from invoice receipt.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