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Enterprise Contract Analysis Report</w:t>
      </w:r>
    </w:p>
    <w:p>
      <w:pPr>
        <w:pStyle w:val="Heading2"/>
      </w:pPr>
      <w:r>
        <w:t>Table 1 - Compliance Analysis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Clause</w:t>
            </w:r>
          </w:p>
        </w:tc>
        <w:tc>
          <w:tcPr>
            <w:tcW w:type="dxa" w:w="1440"/>
          </w:tcPr>
          <w:p>
            <w:r>
              <w:t>Requirement</w:t>
            </w:r>
          </w:p>
        </w:tc>
        <w:tc>
          <w:tcPr>
            <w:tcW w:type="dxa" w:w="1440"/>
          </w:tcPr>
          <w:p>
            <w:r>
              <w:t>Summary of Key Details</w:t>
            </w:r>
          </w:p>
        </w:tc>
        <w:tc>
          <w:tcPr>
            <w:tcW w:type="dxa" w:w="1440"/>
          </w:tcPr>
          <w:p>
            <w:r>
              <w:t>Evidence</w:t>
            </w:r>
          </w:p>
        </w:tc>
        <w:tc>
          <w:tcPr>
            <w:tcW w:type="dxa" w:w="1440"/>
          </w:tcPr>
          <w:p>
            <w:r>
              <w:t>Assessor Remarks</w:t>
            </w:r>
          </w:p>
        </w:tc>
        <w:tc>
          <w:tcPr>
            <w:tcW w:type="dxa" w:w="1440"/>
          </w:tcPr>
          <w:p>
            <w:r>
              <w:t>Historical Action Taken</w:t>
            </w:r>
          </w:p>
        </w:tc>
      </w:tr>
      <w:tr>
        <w:tc>
          <w:tcPr>
            <w:tcW w:type="dxa" w:w="1440"/>
          </w:tcPr>
          <w:p>
            <w:r>
              <w:t>Payment Terms</w:t>
            </w:r>
          </w:p>
        </w:tc>
        <w:tc>
          <w:tcPr>
            <w:tcW w:type="dxa" w:w="1440"/>
          </w:tcPr>
          <w:p>
            <w:r>
              <w:t>45% Minimum Advance</w:t>
            </w:r>
          </w:p>
        </w:tc>
        <w:tc>
          <w:tcPr>
            <w:tcW w:type="dxa" w:w="1440"/>
          </w:tcPr>
          <w:p>
            <w:r>
              <w:t>Provisions regarding '45% Minimum Advance': This retention clause is not intended to reduce the agreed advance percentage but can affect payment timing.</w:t>
            </w:r>
          </w:p>
        </w:tc>
        <w:tc>
          <w:tcPr>
            <w:tcW w:type="dxa" w:w="1440"/>
          </w:tcPr>
          <w:p>
            <w:r>
              <w:t>This retention clause is not intended to reduce the agreed advance percentage but can</w:t>
              <w:br/>
              <w:t>affect payment timing.</w:t>
            </w:r>
          </w:p>
        </w:tc>
        <w:tc>
          <w:tcPr>
            <w:tcW w:type="dxa" w:w="1440"/>
          </w:tcPr>
          <w:p>
            <w:r>
              <w:t>Advance payment split across conditions</w:t>
            </w:r>
          </w:p>
        </w:tc>
        <w:tc>
          <w:tcPr>
            <w:tcW w:type="dxa" w:w="1440"/>
          </w:tcPr>
          <w:p>
            <w:r>
              <w:t>Historically, advance payment percentages were either approved as exceptional lump sums to secure pricing or escalated to the finance board via rolling letters of credit when minimums were not met.</w:t>
              <w:br/>
              <w:br/>
              <w:t>Historical Reference</w:t>
              <w:br/>
              <w:t>Sources:</w:t>
              <w:br/>
              <w:t>• d1.docx – Payment Terms</w:t>
              <w:br/>
              <w:t>• d2.docx – Payment Terms</w:t>
            </w:r>
          </w:p>
        </w:tc>
      </w:tr>
      <w:tr>
        <w:tc>
          <w:tcPr>
            <w:tcW w:type="dxa" w:w="1440"/>
          </w:tcPr>
          <w:p>
            <w:r>
              <w:t>Payment Terms</w:t>
            </w:r>
          </w:p>
        </w:tc>
        <w:tc>
          <w:tcPr>
            <w:tcW w:type="dxa" w:w="1440"/>
          </w:tcPr>
          <w:p>
            <w:r>
              <w:t>All payments Net 30 days from invoice</w:t>
            </w:r>
          </w:p>
        </w:tc>
        <w:tc>
          <w:tcPr>
            <w:tcW w:type="dxa" w:w="1440"/>
          </w:tcPr>
          <w:p>
            <w:r>
              <w:t>Provisions regarding 'All payments Net 30 days from invoice': Buyer shall pay accepted invoices within thirty (30) days after receipt of a valid tax invoice. An invoice is valid only after the corresponding goods receipt note, inspection release, and packing-list reconciliation are completed in Buyer's system. If those acceptance records are completed after invoice receipt, the thirty-day clock starts from the later acceptance record, not the invoice date.</w:t>
            </w:r>
          </w:p>
        </w:tc>
        <w:tc>
          <w:tcPr>
            <w:tcW w:type="dxa" w:w="1440"/>
          </w:tcPr>
          <w:p>
            <w:r>
              <w:t>Buyer shall pay accepted invoices within thirty (30) days after receipt of a valid tax invoice. An invoice is valid only after the corresponding goods receipt note, inspection release, and packing-list reconciliation are completed in Buyer's system. If those acceptance records are completed after invoice receipt, the thirty-day clock starts from the later acceptance record, not the invoice date.</w:t>
            </w:r>
          </w:p>
        </w:tc>
        <w:tc>
          <w:tcPr>
            <w:tcW w:type="dxa" w:w="1440"/>
          </w:tcPr>
          <w:p>
            <w:r>
              <w:t>The requirement for Net 30 is present, but it is subject to several conditions: the invoice must be 'accepted' and 'valid', and the 30-day trigger is modified to start from the later of the invoice receipt or the completion of internal acceptance records (goods receipt, inspection release, etc.).</w:t>
            </w:r>
          </w:p>
        </w:tc>
        <w:tc>
          <w:tcPr>
            <w:tcW w:type="dxa" w:w="1440"/>
          </w:tcPr>
          <w:p>
            <w:r>
              <w:t>Deviations from the Net 30 standard have previously been resolved through executive waivers in exchange for price discounts.</w:t>
              <w:br/>
              <w:br/>
              <w:t>Historical Reference</w:t>
              <w:br/>
              <w:t>Source:</w:t>
              <w:br/>
              <w:t>d1.docx</w:t>
              <w:br/>
              <w:t>Clause: Payment Terms</w:t>
              <w:br/>
              <w:t>Requirement: All payments Net 30 days from invoice</w:t>
              <w:br/>
              <w:br/>
              <w:t>Quote:</w:t>
              <w:br/>
              <w:t>"Vendor wording accepted via executive waiver; extended terms granted in exchange for a 2% price discount."</w:t>
            </w:r>
          </w:p>
        </w:tc>
      </w:tr>
      <w:tr>
        <w:tc>
          <w:tcPr>
            <w:tcW w:type="dxa" w:w="1440"/>
          </w:tcPr>
          <w:p>
            <w:r>
              <w:t>Payment Terms</w:t>
            </w:r>
          </w:p>
        </w:tc>
        <w:tc>
          <w:tcPr>
            <w:tcW w:type="dxa" w:w="1440"/>
          </w:tcPr>
          <w:p>
            <w:r>
              <w:t>Partial delivery and invoicing allowed</w:t>
            </w:r>
          </w:p>
        </w:tc>
        <w:tc>
          <w:tcPr>
            <w:tcW w:type="dxa" w:w="1440"/>
          </w:tcPr>
          <w:p>
            <w:r>
              <w:t>Provisions regarding 'Partial delivery and invoicing allowed': Supplier may dispatch Lot A, Lot B, and Lot C separately and may raise a corresponding invoice for each completed lot.</w:t>
            </w:r>
          </w:p>
        </w:tc>
        <w:tc>
          <w:tcPr>
            <w:tcW w:type="dxa" w:w="1440"/>
          </w:tcPr>
          <w:p>
            <w:r>
              <w:t>Supplier may dispatch Lot A, Lot B, and Lot C separately and may raise a corresponding invoice for each completed lot.</w:t>
            </w:r>
          </w:p>
        </w:tc>
        <w:tc>
          <w:tcPr>
            <w:tcW w:type="dxa" w:w="1440"/>
          </w:tcPr>
          <w:p>
            <w:r>
              <w:t>The contract explicitly allows for separate dispatch (partial delivery) and corresponding invoicing for each completed lot.</w:t>
            </w:r>
          </w:p>
        </w:tc>
        <w:tc>
          <w:tcPr>
            <w:tcW w:type="dxa" w:w="1440"/>
          </w:tcPr>
          <w:p>
            <w:r>
              <w:t>Past discrepancies regarding partial invoicing were addressed through Contract Review Board updates or accepted as management risks to maintain sole-source exclusivity.</w:t>
              <w:br/>
              <w:br/>
              <w:t>Historical Reference</w:t>
              <w:br/>
              <w:t>Sources:</w:t>
              <w:br/>
              <w:t>• d1.docx – Payment Terms</w:t>
              <w:br/>
              <w:t>• d2.docx – Payment Terms</w:t>
            </w:r>
          </w:p>
        </w:tc>
      </w:tr>
      <w:tr>
        <w:tc>
          <w:tcPr>
            <w:tcW w:type="dxa" w:w="1440"/>
          </w:tcPr>
          <w:p>
            <w:r>
              <w:t>Bank Guarantees</w:t>
            </w:r>
          </w:p>
        </w:tc>
        <w:tc>
          <w:tcPr>
            <w:tcW w:type="dxa" w:w="1440"/>
          </w:tcPr>
          <w:p>
            <w:r>
              <w:t>Performance Guarantee not exceeding 10%</w:t>
            </w:r>
          </w:p>
        </w:tc>
        <w:tc>
          <w:tcPr>
            <w:tcW w:type="dxa" w:w="1440"/>
          </w:tcPr>
          <w:p>
            <w:r>
              <w:t>Provisions regarding 'Performance Guarantee not exceeding 10%': In addition to the guarantee in Article 00511. 1, Supplier shall furnish a temporary bridge performance guarantee equal to two percent (2%) of the Purchase Order value from the date of the first advance tranche until the earlier of successful FAT release or first dispatch.</w:t>
            </w:r>
          </w:p>
        </w:tc>
        <w:tc>
          <w:tcPr>
            <w:tcW w:type="dxa" w:w="1440"/>
          </w:tcPr>
          <w:p>
            <w:r>
              <w:t>In addition to the guarantee in Article 00511.3.1, Supplier shall furnish a temporary bridge performance</w:t>
              <w:br/>
              <w:t>guarantee equal to two percent (2%) of the Purchase Order value from the date of the first advance tranche until the earlier of successful</w:t>
              <w:br/>
              <w:t>FAT release or first dispatch.</w:t>
            </w:r>
          </w:p>
        </w:tc>
        <w:tc>
          <w:tcPr>
            <w:tcW w:type="dxa" w:w="1440"/>
          </w:tcPr>
          <w:p>
            <w:r>
              <w:t>Total security obligations found: 12.0%</w:t>
            </w:r>
          </w:p>
        </w:tc>
        <w:tc>
          <w:tcPr>
            <w:tcW w:type="dxa" w:w="1440"/>
          </w:tcPr>
          <w:p>
            <w:r>
              <w:t>Historically, performance security percentages were reduced via legal overrides following the submission and review of the vendor's audited global asset records.</w:t>
              <w:br/>
              <w:br/>
              <w:t>Historical Reference</w:t>
              <w:br/>
              <w:t>Source:</w:t>
              <w:br/>
              <w:t>d1.docx</w:t>
              <w:br/>
              <w:t>Clause: Bank Guarantees</w:t>
              <w:br/>
              <w:t>Requirement: Performance Guarantee not exceeding 10%</w:t>
              <w:br/>
              <w:br/>
              <w:t>Quote:</w:t>
              <w:br/>
              <w:t>"Reduced performance security via legal override after vendor submitted audited global asset records."</w:t>
            </w:r>
          </w:p>
        </w:tc>
      </w:tr>
      <w:tr>
        <w:tc>
          <w:tcPr>
            <w:tcW w:type="dxa" w:w="1440"/>
          </w:tcPr>
          <w:p>
            <w:r>
              <w:t>Bank Guarantees</w:t>
            </w:r>
          </w:p>
        </w:tc>
        <w:tc>
          <w:tcPr>
            <w:tcW w:type="dxa" w:w="1440"/>
          </w:tcPr>
          <w:p>
            <w:r>
              <w:t>Bank Guarantee validity period defined</w:t>
            </w:r>
          </w:p>
        </w:tc>
        <w:tc>
          <w:tcPr>
            <w:tcW w:type="dxa" w:w="1440"/>
          </w:tcPr>
          <w:p>
            <w:r>
              <w:t>Provisions regarding 'Bank Guarantee validity period defined': Supplier shall furnish an unconditional performance bank guarantee equal to ten percent (10%) of the Purchase Order value, valid until expiry of the standard guarantee period plus ninety (90) days.</w:t>
            </w:r>
          </w:p>
        </w:tc>
        <w:tc>
          <w:tcPr>
            <w:tcW w:type="dxa" w:w="1440"/>
          </w:tcPr>
          <w:p>
            <w:r>
              <w:t>Supplier shall furnish an unconditional performance bank guarantee equal to ten percent (10%)</w:t>
              <w:br/>
              <w:t>of the Purchase Order value, valid until expiry of the standard guarantee period plus ninety (90) days.</w:t>
            </w:r>
          </w:p>
        </w:tc>
        <w:tc>
          <w:tcPr>
            <w:tcW w:type="dxa" w:w="1440"/>
          </w:tcPr>
          <w:p>
            <w:r>
              <w:t>Supplier shall furnish an unconditional performance bank guarantee equal to ten percent (10%)</w:t>
              <w:br/>
              <w:t>of the Purchase Order value, valid until expiry of the standard guarantee period plus ninety (90) days.</w:t>
            </w:r>
          </w:p>
        </w:tc>
        <w:tc>
          <w:tcPr>
            <w:tcW w:type="dxa" w:w="1440"/>
          </w:tcPr>
          <w:p>
            <w:r>
              <w:t>Past discrepancies in validity periods were managed through internal audit identifications, leading to either deferred remediation in amendment cycles or formal demands for immediate correction of expiry and return protocols.</w:t>
              <w:br/>
              <w:br/>
              <w:t>Historical Reference</w:t>
              <w:br/>
              <w:t>Sources:</w:t>
              <w:br/>
              <w:t>• d1.docx – Bank Guarantees</w:t>
              <w:br/>
              <w:t>• d2.docx – Bank Guarantees</w:t>
            </w:r>
          </w:p>
        </w:tc>
      </w:tr>
      <w:tr>
        <w:tc>
          <w:tcPr>
            <w:tcW w:type="dxa" w:w="1440"/>
          </w:tcPr>
          <w:p>
            <w:r>
              <w:t>Liquidated Damages</w:t>
            </w:r>
          </w:p>
        </w:tc>
        <w:tc>
          <w:tcPr>
            <w:tcW w:type="dxa" w:w="1440"/>
          </w:tcPr>
          <w:p>
            <w:r>
              <w:t>Documentation LD not applicable</w:t>
            </w:r>
          </w:p>
        </w:tc>
        <w:tc>
          <w:tcPr>
            <w:tcW w:type="dxa" w:w="1440"/>
          </w:tcPr>
          <w:p>
            <w:r>
              <w:t>Provisions regarding 'Documentation LD not applicable': For delay in delivery of equipment beyond the contractual delivery date, Supplier shall pay liquidated damages at zero point five percent (0. 5%) of the value of the undelivered part per completed week of delay.</w:t>
            </w:r>
          </w:p>
        </w:tc>
        <w:tc>
          <w:tcPr>
            <w:tcW w:type="dxa" w:w="1440"/>
          </w:tcPr>
          <w:p>
            <w:r>
              <w:t>For delay in delivery of equipment beyond the contractual delivery date, Supplier shall pay liquidated</w:t>
              <w:br/>
              <w:t>damages at zero point five percent (0.5%) of the value of the undelivered part per completed week of delay.</w:t>
            </w:r>
          </w:p>
        </w:tc>
        <w:tc>
          <w:tcPr>
            <w:tcW w:type="dxa" w:w="1440"/>
          </w:tcPr>
          <w:p>
            <w:r>
              <w:t>Clause contains material limitations, exceptions, carve-outs, conditions, or restricted applicability</w:t>
            </w:r>
          </w:p>
        </w:tc>
        <w:tc>
          <w:tcPr>
            <w:tcW w:type="dxa" w:w="1440"/>
          </w:tcPr>
          <w:p>
            <w:r>
              <w:t>Historically, documentation-related penalties were either flagged for risk monitoring or explicitly removed from the text to isolate administrative delays from financial penalties.</w:t>
              <w:br/>
              <w:br/>
              <w:t>Historical Reference</w:t>
              <w:br/>
              <w:t>Sources:</w:t>
              <w:br/>
              <w:t>• d1.docx – Liquidated Damages</w:t>
              <w:br/>
              <w:t>• d2.docx – Liquidated Damages</w:t>
            </w:r>
          </w:p>
        </w:tc>
      </w:tr>
      <w:tr>
        <w:tc>
          <w:tcPr>
            <w:tcW w:type="dxa" w:w="1440"/>
          </w:tcPr>
          <w:p>
            <w:r>
              <w:t>Liquidated Damages</w:t>
            </w:r>
          </w:p>
        </w:tc>
        <w:tc>
          <w:tcPr>
            <w:tcW w:type="dxa" w:w="1440"/>
          </w:tcPr>
          <w:p>
            <w:r>
              <w:t>Equipment Delivery LD 0.5% per week</w:t>
            </w:r>
          </w:p>
        </w:tc>
        <w:tc>
          <w:tcPr>
            <w:tcW w:type="dxa" w:w="1440"/>
          </w:tcPr>
          <w:p>
            <w:r>
              <w:t>Provisions regarding 'Equipment Delivery LD 0.5% per week': For delay in delivery of equipment beyond the contractual delivery date, Supplier shall pay liquidated damages at zero point five percent (0. 5%) of the value of the undelivered part per completed week of delay.</w:t>
            </w:r>
          </w:p>
        </w:tc>
        <w:tc>
          <w:tcPr>
            <w:tcW w:type="dxa" w:w="1440"/>
          </w:tcPr>
          <w:p>
            <w:r>
              <w:t>For delay in delivery of equipment beyond the contractual delivery date, Supplier shall pay liquidated</w:t>
              <w:br/>
              <w:t>damages at zero point five percent (0.5%) of the value of the undelivered part per completed week of delay.</w:t>
            </w:r>
          </w:p>
        </w:tc>
        <w:tc>
          <w:tcPr>
            <w:tcW w:type="dxa" w:w="1440"/>
          </w:tcPr>
          <w:p>
            <w:r>
              <w:t>Clause contains material limitations, exceptions, carve-outs, conditions, or restricted applicability</w:t>
            </w:r>
          </w:p>
        </w:tc>
        <w:tc>
          <w:tcPr>
            <w:tcW w:type="dxa" w:w="1440"/>
          </w:tcPr>
          <w:p>
            <w:r>
              <w:t>Standard 0.5% weekly rates have been validated by legal, while aggressive rates (e.g., 1.0%) were flagged for negotiation via vendor working groups.</w:t>
              <w:br/>
              <w:br/>
              <w:t>Historical Reference</w:t>
              <w:br/>
              <w:t>Sources:</w:t>
              <w:br/>
              <w:t>• d1.docx – Liquidated Damages</w:t>
              <w:br/>
              <w:t>• d2.docx – Liquidated Damages</w:t>
            </w:r>
          </w:p>
        </w:tc>
      </w:tr>
      <w:tr>
        <w:tc>
          <w:tcPr>
            <w:tcW w:type="dxa" w:w="1440"/>
          </w:tcPr>
          <w:p>
            <w:r>
              <w:t>Liquidated Damages</w:t>
            </w:r>
          </w:p>
        </w:tc>
        <w:tc>
          <w:tcPr>
            <w:tcW w:type="dxa" w:w="1440"/>
          </w:tcPr>
          <w:p>
            <w:r>
              <w:t>Equipment Delivery LD capped at 5%</w:t>
            </w:r>
          </w:p>
        </w:tc>
        <w:tc>
          <w:tcPr>
            <w:tcW w:type="dxa" w:w="1440"/>
          </w:tcPr>
          <w:p>
            <w:r>
              <w:t>Provisions regarding 'Equipment Delivery LD capped at 5%': For delay in delivery of equipment beyond the contractual delivery date, Supplier shall pay liquidated damages at zero point five percent (0. 5%) of the value of the undelivered part per completed week of delay.</w:t>
            </w:r>
          </w:p>
        </w:tc>
        <w:tc>
          <w:tcPr>
            <w:tcW w:type="dxa" w:w="1440"/>
          </w:tcPr>
          <w:p>
            <w:r>
              <w:t>For delay in delivery of equipment beyond the contractual delivery date, Supplier shall pay liquidated</w:t>
              <w:br/>
              <w:t>damages at zero point five percent (0.5%) of the value of the undelivered part per completed week of delay.</w:t>
            </w:r>
          </w:p>
        </w:tc>
        <w:tc>
          <w:tcPr>
            <w:tcW w:type="dxa" w:w="1440"/>
          </w:tcPr>
          <w:p>
            <w:r>
              <w:t>Clause contains material limitations, exceptions, carve-outs, conditions, or restricted applicability</w:t>
            </w:r>
          </w:p>
        </w:tc>
        <w:tc>
          <w:tcPr>
            <w:tcW w:type="dxa" w:w="1440"/>
          </w:tcPr>
          <w:p>
            <w:r>
              <w:t>Efforts have focused on establishing clear component-level boundaries or renegotiating uncapped positions into aggregate frameworks during compromise rounds.</w:t>
              <w:br/>
              <w:br/>
              <w:t>Historical Reference</w:t>
              <w:br/>
              <w:t>Sources:</w:t>
              <w:br/>
              <w:t>• d1.docx – Liquidated Damages</w:t>
              <w:br/>
              <w:t>• d2.docx – Liquidated Damages</w:t>
            </w:r>
          </w:p>
        </w:tc>
      </w:tr>
      <w:tr>
        <w:tc>
          <w:tcPr>
            <w:tcW w:type="dxa" w:w="1440"/>
          </w:tcPr>
          <w:p>
            <w:r>
              <w:t>Liquidated Damages</w:t>
            </w:r>
          </w:p>
        </w:tc>
        <w:tc>
          <w:tcPr>
            <w:tcW w:type="dxa" w:w="1440"/>
          </w:tcPr>
          <w:p>
            <w:r>
              <w:t>Aggregate LD capped at 5% PO value</w:t>
            </w:r>
          </w:p>
        </w:tc>
        <w:tc>
          <w:tcPr>
            <w:tcW w:type="dxa" w:w="1440"/>
          </w:tcPr>
          <w:p>
            <w:r>
              <w:t>Provisions regarding 'Aggregate LD capped at 5% PO value': For delay in delivery of equipment beyond the contractual delivery date, Supplier shall pay liquidated damages at zero point five percent (0. 5%) of the value of the undelivered part per completed week of delay.</w:t>
            </w:r>
          </w:p>
        </w:tc>
        <w:tc>
          <w:tcPr>
            <w:tcW w:type="dxa" w:w="1440"/>
          </w:tcPr>
          <w:p>
            <w:r>
              <w:t>For delay in delivery of equipment beyond the contractual delivery date, Supplier shall pay liquidated</w:t>
              <w:br/>
              <w:t>damages at zero point five percent (0.5%) of the value of the undelivered part per completed week of delay.</w:t>
            </w:r>
          </w:p>
        </w:tc>
        <w:tc>
          <w:tcPr>
            <w:tcW w:type="dxa" w:w="1440"/>
          </w:tcPr>
          <w:p>
            <w:r>
              <w:t>Found 7.5% cap</w:t>
            </w:r>
          </w:p>
        </w:tc>
        <w:tc>
          <w:tcPr>
            <w:tcW w:type="dxa" w:w="1440"/>
          </w:tcPr>
          <w:p>
            <w:r>
              <w:t>Absolute 5% ceilings for total cumulative liability were established during global commercial settlement phases.</w:t>
              <w:br/>
              <w:br/>
              <w:t>Historical Reference</w:t>
              <w:br/>
              <w:t>Source:</w:t>
              <w:br/>
              <w:t>d1.docx</w:t>
              <w:br/>
              <w:t>Clause: Liquidated Damages</w:t>
              <w:br/>
              <w:t>Requirement: Aggregate LD capped at 5% PO value</w:t>
              <w:br/>
              <w:br/>
              <w:t>Quote:</w:t>
              <w:br/>
              <w:t>"Negotiated lower LD cap and established absolute 5% ceiling during global commercial settlement."</w:t>
            </w:r>
          </w:p>
        </w:tc>
      </w:tr>
      <w:tr>
        <w:tc>
          <w:tcPr>
            <w:tcW w:type="dxa" w:w="1440"/>
          </w:tcPr>
          <w:p>
            <w:r>
              <w:t>Liquidated Damages</w:t>
            </w:r>
          </w:p>
        </w:tc>
        <w:tc>
          <w:tcPr>
            <w:tcW w:type="dxa" w:w="1440"/>
          </w:tcPr>
          <w:p>
            <w:r>
              <w:t>Remedial Work LD not applicable</w:t>
            </w:r>
          </w:p>
        </w:tc>
        <w:tc>
          <w:tcPr>
            <w:tcW w:type="dxa" w:w="1440"/>
          </w:tcPr>
          <w:p>
            <w:r>
              <w:t>Provisions regarding 'Remedial Work LD not applicable': For delay in delivery of equipment beyond the contractual delivery date, Supplier shall pay liquidated damages at zero point five percent (0. 5%) of the value of the undelivered part per completed week of delay.</w:t>
            </w:r>
          </w:p>
        </w:tc>
        <w:tc>
          <w:tcPr>
            <w:tcW w:type="dxa" w:w="1440"/>
          </w:tcPr>
          <w:p>
            <w:r>
              <w:t>For delay in delivery of equipment beyond the contractual delivery date, Supplier shall pay liquidated</w:t>
              <w:br/>
              <w:t>damages at zero point five percent (0.5%) of the value of the undelivered part per completed week of delay.</w:t>
            </w:r>
          </w:p>
        </w:tc>
        <w:tc>
          <w:tcPr>
            <w:tcW w:type="dxa" w:w="1440"/>
          </w:tcPr>
          <w:p>
            <w:r>
              <w:t>Clause contains material limitations, exceptions, carve-outs, conditions, or restricted applicability</w:t>
            </w:r>
          </w:p>
        </w:tc>
        <w:tc>
          <w:tcPr>
            <w:tcW w:type="dxa" w:w="1440"/>
          </w:tcPr>
          <w:p>
            <w:r>
              <w:t>Procurement teams have historically removed conditional dependencies from drafts to ensure penalties do not accrue during active engineering remediation.</w:t>
              <w:br/>
              <w:br/>
              <w:t>Historical Reference</w:t>
              <w:br/>
              <w:t>Sources:</w:t>
              <w:br/>
              <w:t>• d1.docx – Liquidated Damages</w:t>
              <w:br/>
              <w:t>• d2.docx – Liquidated Damages</w:t>
            </w:r>
          </w:p>
        </w:tc>
      </w:tr>
      <w:tr>
        <w:tc>
          <w:tcPr>
            <w:tcW w:type="dxa" w:w="1440"/>
          </w:tcPr>
          <w:p>
            <w:r>
              <w:t>Guarantee</w:t>
            </w:r>
          </w:p>
        </w:tc>
        <w:tc>
          <w:tcPr>
            <w:tcW w:type="dxa" w:w="1440"/>
          </w:tcPr>
          <w:p>
            <w:r>
              <w:t>Warranty period defined</w:t>
            </w:r>
          </w:p>
        </w:tc>
        <w:tc>
          <w:tcPr>
            <w:tcW w:type="dxa" w:w="1440"/>
          </w:tcPr>
          <w:p>
            <w:r>
              <w:t>Provisions regarding 'Warranty period defined': Any repaired or replaced component shall be guaranteed for twelve (12) months from completion of repair or replacement, or until eighteen (18) months from original dispatch of the affected equipment, whichever occurs earlier.</w:t>
            </w:r>
          </w:p>
        </w:tc>
        <w:tc>
          <w:tcPr>
            <w:tcW w:type="dxa" w:w="1440"/>
          </w:tcPr>
          <w:p>
            <w:r>
              <w:t>Any repaired or replaced component shall be guaranteed for twelve (12) months from completion of</w:t>
              <w:br/>
              <w:t>repair or replacement, or until eighteen (18) months from original dispatch of the affected equipment, whichever occurs earlier.</w:t>
            </w:r>
          </w:p>
        </w:tc>
        <w:tc>
          <w:tcPr>
            <w:tcW w:type="dxa" w:w="1440"/>
          </w:tcPr>
          <w:p>
            <w:r>
              <w:t>Clause contains material limitations, exceptions, carve-outs, conditions, or restricted applicability</w:t>
            </w:r>
          </w:p>
        </w:tc>
        <w:tc>
          <w:tcPr>
            <w:tcW w:type="dxa" w:w="1440"/>
          </w:tcPr>
          <w:p>
            <w:r>
              <w:t>Commercial teams have historically secured extended warranty periods by negotiating reciprocal adjustments to maritime shipping or intellectual property clauses.</w:t>
              <w:br/>
              <w:br/>
              <w:t>Historical Reference</w:t>
              <w:br/>
              <w:t>Sources:</w:t>
              <w:br/>
              <w:t>• d1.docx – Guarantee</w:t>
              <w:br/>
              <w:t>• d2.docx – Guarantee</w:t>
            </w:r>
          </w:p>
        </w:tc>
      </w:tr>
      <w:tr>
        <w:tc>
          <w:tcPr>
            <w:tcW w:type="dxa" w:w="1440"/>
          </w:tcPr>
          <w:p>
            <w:r>
              <w:t>Guarantee</w:t>
            </w:r>
          </w:p>
        </w:tc>
        <w:tc>
          <w:tcPr>
            <w:tcW w:type="dxa" w:w="1440"/>
          </w:tcPr>
          <w:p>
            <w:r>
              <w:t>2 months from commissioning or 18 months from dispatch</w:t>
            </w:r>
          </w:p>
        </w:tc>
        <w:tc>
          <w:tcPr>
            <w:tcW w:type="dxa" w:w="1440"/>
          </w:tcPr>
          <w:p>
            <w:r>
              <w:t>Provisions regarding '2 months from commissioning or 18 months from dispatch': Any repaired or replaced component shall be guaranteed for twelve (12) months from completion of repair or replacement, or until eighteen (18) months from original dispatch of the affected equipment, whichever occurs earlier.</w:t>
            </w:r>
          </w:p>
        </w:tc>
        <w:tc>
          <w:tcPr>
            <w:tcW w:type="dxa" w:w="1440"/>
          </w:tcPr>
          <w:p>
            <w:r>
              <w:t>Any repaired or replaced component shall be guaranteed for twelve (12) months from completion of</w:t>
              <w:br/>
              <w:t>repair or replacement, or until eighteen (18) months from original dispatch of the affected equipment, whichever occurs earlier.</w:t>
            </w:r>
          </w:p>
        </w:tc>
        <w:tc>
          <w:tcPr>
            <w:tcW w:type="dxa" w:w="1440"/>
          </w:tcPr>
          <w:p>
            <w:r>
              <w:t>Clause contains material limitations, exceptions, carve-outs, conditions, or restricted applicability</w:t>
            </w:r>
          </w:p>
        </w:tc>
        <w:tc>
          <w:tcPr>
            <w:tcW w:type="dxa" w:w="1440"/>
          </w:tcPr>
          <w:p>
            <w:r>
              <w:t>Failures to meet multi-trigger commissioning timelines were previously escalated to the Project Director and logged as formal corporate risks, or renegotiated during legal review to defer environmental exceptions.</w:t>
              <w:br/>
              <w:br/>
              <w:t>Historical Reference</w:t>
              <w:br/>
              <w:t>Sources:</w:t>
              <w:br/>
              <w:t>• d1.docx – Guarantee</w:t>
              <w:br/>
              <w:t>• d2.docx – Guarantee</w:t>
            </w:r>
          </w:p>
        </w:tc>
      </w:tr>
      <w:tr>
        <w:tc>
          <w:tcPr>
            <w:tcW w:type="dxa" w:w="1440"/>
          </w:tcPr>
          <w:p>
            <w:r>
              <w:t>Guarantee</w:t>
            </w:r>
          </w:p>
        </w:tc>
        <w:tc>
          <w:tcPr>
            <w:tcW w:type="dxa" w:w="1440"/>
          </w:tcPr>
          <w:p>
            <w:r>
              <w:t>Repair/replacement warranty obligations defined</w:t>
            </w:r>
          </w:p>
        </w:tc>
        <w:tc>
          <w:tcPr>
            <w:tcW w:type="dxa" w:w="1440"/>
          </w:tcPr>
          <w:p>
            <w:r>
              <w:t>Provisions regarding 'Repair/replacement warranty obligations defined': Any repaired or replaced component shall be guaranteed for twelve (12) months from completion of repair or replacement, or until eighteen (18) months from original dispatch of the affected equipment, whichever occurs earlier.</w:t>
            </w:r>
          </w:p>
        </w:tc>
        <w:tc>
          <w:tcPr>
            <w:tcW w:type="dxa" w:w="1440"/>
          </w:tcPr>
          <w:p>
            <w:r>
              <w:t>Any repaired or replaced component shall be guaranteed for twelve (12) months from completion of</w:t>
              <w:br/>
              <w:t>repair or replacement, or until eighteen (18) months from original dispatch of the affected equipment, whichever occurs earlier.</w:t>
            </w:r>
          </w:p>
        </w:tc>
        <w:tc>
          <w:tcPr>
            <w:tcW w:type="dxa" w:w="1440"/>
          </w:tcPr>
          <w:p>
            <w:r>
              <w:t>Clause contains material limitations, exceptions, carve-outs, conditions, or restricted applicability</w:t>
            </w:r>
          </w:p>
        </w:tc>
        <w:tc>
          <w:tcPr>
            <w:tcW w:type="dxa" w:w="1440"/>
          </w:tcPr>
          <w:p>
            <w:r>
              <w:t>Warranty coverage limits for repaired or replaced components were previously refined during final engineering alignment meetings and finalized by legal counsel.</w:t>
              <w:br/>
              <w:br/>
              <w:t>Historical Reference</w:t>
              <w:br/>
              <w:t>Source:</w:t>
              <w:br/>
              <w:t>d1.docx</w:t>
              <w:br/>
              <w:t>Clause: Guarantee</w:t>
              <w:br/>
              <w:t>Requirement: Repair/replacement warranty obligations defined</w:t>
              <w:br/>
              <w:br/>
              <w:t>Quote:</w:t>
              <w:br/>
              <w:t>"Revised warranty coverage limits during final engineering alignment meetings; closed by legal."</w:t>
            </w:r>
          </w:p>
        </w:tc>
      </w:tr>
      <w:tr>
        <w:tc>
          <w:tcPr>
            <w:tcW w:type="dxa" w:w="1440"/>
          </w:tcPr>
          <w:p>
            <w:r>
              <w:t>Force Majeure</w:t>
            </w:r>
          </w:p>
        </w:tc>
        <w:tc>
          <w:tcPr>
            <w:tcW w:type="dxa" w:w="1440"/>
          </w:tcPr>
          <w:p>
            <w:r>
              <w:t>Force majeure events defined</w:t>
            </w:r>
          </w:p>
        </w:tc>
        <w:tc>
          <w:tcPr>
            <w:tcW w:type="dxa" w:w="1440"/>
          </w:tcPr>
          <w:p>
            <w:r>
              <w:t>Provisions regarding 'Force majeure events defined': Supplier may claim Force Majeure relief for events affecting only the Tier-1 critical sub-suppliers named in Annex D or the approved international logistics carrier.</w:t>
            </w:r>
          </w:p>
        </w:tc>
        <w:tc>
          <w:tcPr>
            <w:tcW w:type="dxa" w:w="1440"/>
          </w:tcPr>
          <w:p>
            <w:r>
              <w:t>Supplier may claim Force Majeure relief for events affecting only the Tier-1 critical sub-suppliers named</w:t>
              <w:br/>
              <w:t>in Annex D or the approved international logistics carrier.</w:t>
            </w:r>
          </w:p>
        </w:tc>
        <w:tc>
          <w:tcPr>
            <w:tcW w:type="dxa" w:w="1440"/>
          </w:tcPr>
          <w:p>
            <w:r>
              <w:t>Clause contains material limitations, exceptions, carve-outs, conditions, or restricted applicability</w:t>
            </w:r>
          </w:p>
        </w:tc>
        <w:tc>
          <w:tcPr>
            <w:tcW w:type="dxa" w:w="1440"/>
          </w:tcPr>
          <w:p>
            <w:r>
              <w:t>Historically, definitions were expanded to include regional infrastructure failures and standardized across all baseline drafts to ensure neutral, unambiguous boundaries.</w:t>
              <w:br/>
              <w:br/>
              <w:t>Historical Reference</w:t>
              <w:br/>
              <w:t>Sources:</w:t>
              <w:br/>
              <w:t>• d1.docx – Force Majeure</w:t>
              <w:br/>
              <w:t>• d2.docx – Force Majeure</w:t>
            </w:r>
          </w:p>
        </w:tc>
      </w:tr>
      <w:tr>
        <w:tc>
          <w:tcPr>
            <w:tcW w:type="dxa" w:w="1440"/>
          </w:tcPr>
          <w:p>
            <w:r>
              <w:t>Force Majeure</w:t>
            </w:r>
          </w:p>
        </w:tc>
        <w:tc>
          <w:tcPr>
            <w:tcW w:type="dxa" w:w="1440"/>
          </w:tcPr>
          <w:p>
            <w:r>
              <w:t>Applies to subcontractors</w:t>
            </w:r>
          </w:p>
        </w:tc>
        <w:tc>
          <w:tcPr>
            <w:tcW w:type="dxa" w:w="1440"/>
          </w:tcPr>
          <w:p>
            <w:r>
              <w:t>Provisions regarding 'Applies to subcontractors': Force majeure applies only to named Tier-1 / approved suppliers.</w:t>
            </w:r>
          </w:p>
        </w:tc>
        <w:tc>
          <w:tcPr>
            <w:tcW w:type="dxa" w:w="1440"/>
          </w:tcPr>
          <w:p>
            <w:r>
              <w:t>Force majeure applies only to named Tier-1 / approved suppliers</w:t>
            </w:r>
          </w:p>
        </w:tc>
        <w:tc>
          <w:tcPr>
            <w:tcW w:type="dxa" w:w="1440"/>
          </w:tcPr>
          <w:p>
            <w:r>
              <w:t>Applies only to specific suppliers</w:t>
            </w:r>
          </w:p>
        </w:tc>
        <w:tc>
          <w:tcPr>
            <w:tcW w:type="dxa" w:w="1440"/>
          </w:tcPr>
          <w:p>
            <w:r>
              <w:t>Previous actions involved adjusting wording to ensure relief explicitly extends to all approved subcontractors and component suppliers throughout the execution chain.</w:t>
              <w:br/>
              <w:br/>
              <w:t>Historical Reference</w:t>
              <w:br/>
              <w:t>Source:</w:t>
              <w:br/>
              <w:t>d1.docx</w:t>
              <w:br/>
              <w:t>Clause: Force Majeure</w:t>
              <w:br/>
              <w:t>Requirement: Applies to subcontractors</w:t>
              <w:br/>
              <w:br/>
              <w:t>Quote:</w:t>
              <w:br/>
              <w:t>"Wording adjusted after subcontractor compliance review; closed after formal execution of Amendment 2."</w:t>
            </w:r>
          </w:p>
        </w:tc>
      </w:tr>
      <w:tr>
        <w:tc>
          <w:tcPr>
            <w:tcW w:type="dxa" w:w="1440"/>
          </w:tcPr>
          <w:p>
            <w:r>
              <w:t>Force Majeure</w:t>
            </w:r>
          </w:p>
        </w:tc>
        <w:tc>
          <w:tcPr>
            <w:tcW w:type="dxa" w:w="1440"/>
          </w:tcPr>
          <w:p>
            <w:r>
              <w:t>Notice obligations defined</w:t>
            </w:r>
          </w:p>
        </w:tc>
        <w:tc>
          <w:tcPr>
            <w:tcW w:type="dxa" w:w="1440"/>
          </w:tcPr>
          <w:p>
            <w:r>
              <w:t>Provisions regarding 'Notice obligations defined': Supplier may claim Force Majeure relief for events affecting only the Tier-1 critical sub-suppliers named in Annex D or the approved international logistics carrier.</w:t>
            </w:r>
          </w:p>
        </w:tc>
        <w:tc>
          <w:tcPr>
            <w:tcW w:type="dxa" w:w="1440"/>
          </w:tcPr>
          <w:p>
            <w:r>
              <w:t>Supplier may claim Force Majeure relief for events affecting only the Tier-1 critical sub-suppliers named</w:t>
              <w:br/>
              <w:t>in Annex D or the approved international logistics carrier.</w:t>
            </w:r>
          </w:p>
        </w:tc>
        <w:tc>
          <w:tcPr>
            <w:tcW w:type="dxa" w:w="1440"/>
          </w:tcPr>
          <w:p>
            <w:r>
              <w:t>Clause contains material limitations, exceptions, carve-outs, conditions, or restricted applicability</w:t>
            </w:r>
          </w:p>
        </w:tc>
        <w:tc>
          <w:tcPr>
            <w:tcW w:type="dxa" w:w="1440"/>
          </w:tcPr>
          <w:p>
            <w:r>
              <w:t>Negotiations focused on replacing unrealistic 24-hour notification windows with more achievable timelines, such as 72 hours or five business days.</w:t>
              <w:br/>
              <w:br/>
              <w:t>Historical Reference</w:t>
              <w:br/>
              <w:t>Sources:</w:t>
              <w:br/>
              <w:t>• d1.docx – Force Majeure</w:t>
              <w:br/>
              <w:t>• d2.docx – Force Majeure</w:t>
            </w:r>
          </w:p>
        </w:tc>
      </w:tr>
      <w:tr>
        <w:tc>
          <w:tcPr>
            <w:tcW w:type="dxa" w:w="1440"/>
          </w:tcPr>
          <w:p>
            <w:r>
              <w:t>Termination</w:t>
            </w:r>
          </w:p>
        </w:tc>
        <w:tc>
          <w:tcPr>
            <w:tcW w:type="dxa" w:w="1440"/>
          </w:tcPr>
          <w:p>
            <w:r>
              <w:t>Termination rights defined</w:t>
            </w:r>
          </w:p>
        </w:tc>
        <w:tc>
          <w:tcPr>
            <w:tcW w:type="dxa" w:w="1440"/>
          </w:tcPr>
          <w:p>
            <w:r>
              <w:t>Provisions regarding 'Termination rights defined': If Buyer cancels the Purchase Order for convenience after Supplier acknowledgement, Buyer shall pay the following fee as a percentage of the order value, subject to the notes below: 0-30 days: 7. 5%; 31-60 days: 25%; 61-90 days: 38%; 91-120 days: 55%; 121-150 days: 70% less documented resale or scrap salvage actually realized by Supplier; 151-180 days: 85%; and 181 or more days: 100% of the undelivered balance only.</w:t>
            </w:r>
          </w:p>
        </w:tc>
        <w:tc>
          <w:tcPr>
            <w:tcW w:type="dxa" w:w="1440"/>
          </w:tcPr>
          <w:p>
            <w:r>
              <w:t>If Buyer cancels the Purchase Order for convenience after Supplier acknowledgement,</w:t>
              <w:br/>
              <w:t>Buyer shall pay the following fee as a percentage of the order value, subject to the notes below: 0-30 days: 7.5%; 31-60 days: 25%;</w:t>
              <w:br/>
              <w:t>61-90 days: 38%; 91-120 days: 55%; 121-150 days: 70% less documented resale or scrap salvage actually realized by Supplier;</w:t>
              <w:br/>
              <w:t>151-180 days: 85%; and 181 or more days: 100% of the undelivered balance only.</w:t>
            </w:r>
          </w:p>
        </w:tc>
        <w:tc>
          <w:tcPr>
            <w:tcW w:type="dxa" w:w="1440"/>
          </w:tcPr>
          <w:p>
            <w:r>
              <w:t>If Buyer cancels the Purchase Order for convenience after Supplier acknowledgement,</w:t>
              <w:br/>
              <w:t>Buyer shall pay the following fee as a percentage of the order value, subject to the notes below: 0-30 days: 7.5%; 31-60 days: 25%;</w:t>
              <w:br/>
              <w:t>61-90 days: 38%; 91-120 days: 55%; 121-150 days: 70% less documented resale or scrap salvage actually realized by Supplier;</w:t>
              <w:br/>
              <w:t>151-180 days: 85%; and 181 or more days: 100% of the undelivered balance only.</w:t>
            </w:r>
          </w:p>
        </w:tc>
        <w:tc>
          <w:tcPr>
            <w:tcW w:type="dxa" w:w="1440"/>
          </w:tcPr>
          <w:p>
            <w:r>
              <w:t>Efforts were made to balance termination rights by addressing reciprocal pathways for supplier-initiated termination and standardizing rules via legal review.</w:t>
              <w:br/>
              <w:br/>
              <w:t>Historical Reference</w:t>
              <w:br/>
              <w:t>Sources:</w:t>
              <w:br/>
              <w:t>• d1.docx – Termination</w:t>
              <w:br/>
              <w:t>• d2.docx – Termination</w:t>
            </w:r>
          </w:p>
        </w:tc>
      </w:tr>
      <w:tr>
        <w:tc>
          <w:tcPr>
            <w:tcW w:type="dxa" w:w="1440"/>
          </w:tcPr>
          <w:p>
            <w:r>
              <w:t>Termination</w:t>
            </w:r>
          </w:p>
        </w:tc>
        <w:tc>
          <w:tcPr>
            <w:tcW w:type="dxa" w:w="1440"/>
          </w:tcPr>
          <w:p>
            <w:r>
              <w:t>Cancellation fee structure defined</w:t>
            </w:r>
          </w:p>
        </w:tc>
        <w:tc>
          <w:tcPr>
            <w:tcW w:type="dxa" w:w="1440"/>
          </w:tcPr>
          <w:p>
            <w:r>
              <w:t>Provisions regarding 'Cancellation fee structure defined': If Buyer cancels the Purchase Order for convenience after Supplier acknowledgement, Buyer shall pay the following fee as a percentage of the order value, subject to the notes below: 0-30 days: 7. 5%; 31-60 days: 25%; 61-90 days: 38%; 91-120 days: 55%; 121-150 days: 70% less documented resale or scrap salvage actually realized by Supplier; 151-180 days: 85%; and 181 or more days: 100% of the undelivered balance only.</w:t>
            </w:r>
          </w:p>
        </w:tc>
        <w:tc>
          <w:tcPr>
            <w:tcW w:type="dxa" w:w="1440"/>
          </w:tcPr>
          <w:p>
            <w:r>
              <w:t>If Buyer cancels the Purchase Order for convenience after Supplier acknowledgement,</w:t>
              <w:br/>
              <w:t>Buyer shall pay the following fee as a percentage of the order value, subject to the notes below: 0-30 days: 7.5%; 31-60 days: 25%;</w:t>
              <w:br/>
              <w:t>61-90 days: 38%; 91-120 days: 55%; 121-150 days: 70% less documented resale or scrap salvage actually realized by Supplier;</w:t>
              <w:br/>
              <w:t>151-180 days: 85%; and 181 or more days: 100% of the undelivered balance only.</w:t>
            </w:r>
          </w:p>
        </w:tc>
        <w:tc>
          <w:tcPr>
            <w:tcW w:type="dxa" w:w="1440"/>
          </w:tcPr>
          <w:p>
            <w:r>
              <w:t>If Buyer cancels the Purchase Order for convenience after Supplier acknowledgement,</w:t>
              <w:br/>
              <w:t>Buyer shall pay the following fee as a percentage of the order value, subject to the notes below: 0-30 days: 7.5%; 31-60 days: 25%;</w:t>
              <w:br/>
              <w:t>61-90 days: 38%; 91-120 days: 55%; 121-150 days: 70% less documented resale or scrap salvage actually realized by Supplier;</w:t>
              <w:br/>
              <w:t>151-180 days: 85%; and 181 or more days: 100% of the undelivered balance only.</w:t>
            </w:r>
          </w:p>
        </w:tc>
        <w:tc>
          <w:tcPr>
            <w:tcW w:type="dxa" w:w="1440"/>
          </w:tcPr>
          <w:p>
            <w:r>
              <w:t>Negotiations focused on transitioning from flat-rate lump sums to dynamic milestone tracking to better protect work-in-progress and material investments.</w:t>
              <w:br/>
              <w:br/>
              <w:t>Historical Reference</w:t>
              <w:br/>
              <w:t>Sources:</w:t>
              <w:br/>
              <w:t>• d1.docx – Termination</w:t>
              <w:br/>
              <w:t>• d2.docx – Termination</w:t>
            </w:r>
          </w:p>
        </w:tc>
      </w:tr>
      <w:tr>
        <w:tc>
          <w:tcPr>
            <w:tcW w:type="dxa" w:w="1440"/>
          </w:tcPr>
          <w:p>
            <w:r>
              <w:t>Termination</w:t>
            </w:r>
          </w:p>
        </w:tc>
        <w:tc>
          <w:tcPr>
            <w:tcW w:type="dxa" w:w="1440"/>
          </w:tcPr>
          <w:p>
            <w:r>
              <w:t>61-90 day cancellation fee 40%</w:t>
            </w:r>
          </w:p>
        </w:tc>
        <w:tc>
          <w:tcPr>
            <w:tcW w:type="dxa" w:w="1440"/>
          </w:tcPr>
          <w:p>
            <w:r>
              <w:t>Provisions regarding '61-90 day cancellation fee 40%': Article 00511. 9 - Cancellation and Early Termination Fee.</w:t>
            </w:r>
          </w:p>
        </w:tc>
        <w:tc>
          <w:tcPr>
            <w:tcW w:type="dxa" w:w="1440"/>
          </w:tcPr>
          <w:p>
            <w:r>
              <w:t>Article 00511.9 - Cancellation and Early Termination Fee</w:t>
            </w:r>
          </w:p>
        </w:tc>
        <w:tc>
          <w:tcPr>
            <w:tcW w:type="dxa" w:w="1440"/>
          </w:tcPr>
          <w:p>
            <w:r>
              <w:t>Required 40.0% not found</w:t>
            </w:r>
          </w:p>
        </w:tc>
        <w:tc>
          <w:tcPr>
            <w:tcW w:type="dxa" w:w="1440"/>
          </w:tcPr>
          <w:p>
            <w:r>
              <w:t>Baseline percentages were re-aligned and corrected during pre-signature reviews to ensure strict adherence to corporate material recovery guidelines.</w:t>
              <w:br/>
              <w:br/>
              <w:t>Historical Reference</w:t>
              <w:br/>
              <w:t>Source:</w:t>
              <w:br/>
              <w:t>d1.docx</w:t>
              <w:br/>
              <w:t>Clause: Termination</w:t>
              <w:br/>
              <w:t>Requirement: 61-90 day cancellation fee 40%</w:t>
              <w:br/>
              <w:br/>
              <w:t>Quote:</w:t>
              <w:br/>
              <w:t>"Baseline percentages re-aligned and corrected during pre-signature document formatting review."</w:t>
            </w:r>
          </w:p>
        </w:tc>
      </w:tr>
      <w:tr>
        <w:tc>
          <w:tcPr>
            <w:tcW w:type="dxa" w:w="1440"/>
          </w:tcPr>
          <w:p>
            <w:r>
              <w:t>Suspension</w:t>
            </w:r>
          </w:p>
        </w:tc>
        <w:tc>
          <w:tcPr>
            <w:tcW w:type="dxa" w:w="1440"/>
          </w:tcPr>
          <w:p>
            <w:r>
              <w:t>Maximum 2 suspensions and 30 days aggregate</w:t>
            </w:r>
          </w:p>
        </w:tc>
        <w:tc>
          <w:tcPr>
            <w:tcW w:type="dxa" w:w="1440"/>
          </w:tcPr>
          <w:p>
            <w:r>
              <w:t>Provisions regarding 'Maximum 2 suspensions and 30 days aggregate': Suspension limits exclude regulatory, government, legal, and safety stoppages.</w:t>
            </w:r>
          </w:p>
        </w:tc>
        <w:tc>
          <w:tcPr>
            <w:tcW w:type="dxa" w:w="1440"/>
          </w:tcPr>
          <w:p>
            <w:r>
              <w:t>Suspension limits exclude regulatory, government, legal, and safety stoppages</w:t>
            </w:r>
          </w:p>
        </w:tc>
        <w:tc>
          <w:tcPr>
            <w:tcW w:type="dxa" w:w="1440"/>
          </w:tcPr>
          <w:p>
            <w:r>
              <w:t>Certain suspension categories excluded from limit</w:t>
            </w:r>
          </w:p>
        </w:tc>
        <w:tc>
          <w:tcPr>
            <w:tcW w:type="dxa" w:w="1440"/>
          </w:tcPr>
          <w:p>
            <w:r>
              <w:t>Implemented a formal suspension approval workflow and established hard duration limits to prevent indefinite project pauses following previous contract disputes.</w:t>
              <w:br/>
              <w:br/>
              <w:t>Historical Reference</w:t>
              <w:br/>
              <w:t>Source:</w:t>
              <w:br/>
              <w:t>d1.docx</w:t>
              <w:br/>
              <w:t>Clause: Suspension</w:t>
              <w:br/>
              <w:t>Requirement: Maximum 2 suspensions and 30 days aggregate</w:t>
              <w:br/>
              <w:br/>
              <w:t>Quote:</w:t>
              <w:br/>
              <w:t>"Added suspension approval workflow and hard duration limits after prior contract dispute review."</w:t>
            </w:r>
          </w:p>
        </w:tc>
      </w:tr>
      <w:tr>
        <w:tc>
          <w:tcPr>
            <w:tcW w:type="dxa" w:w="1440"/>
          </w:tcPr>
          <w:p>
            <w:r>
              <w:t>Suspension</w:t>
            </w:r>
          </w:p>
        </w:tc>
        <w:tc>
          <w:tcPr>
            <w:tcW w:type="dxa" w:w="1440"/>
          </w:tcPr>
          <w:p>
            <w:r>
              <w:t>Supplier obligations during suspension defined</w:t>
            </w:r>
          </w:p>
        </w:tc>
        <w:tc>
          <w:tcPr>
            <w:tcW w:type="dxa" w:w="1440"/>
          </w:tcPr>
          <w:p>
            <w:r>
              <w:t>Provisions regarding 'Supplier obligations during suspension defined': Buyer may suspend work for commercial convenience no more than two (2) times during the Purchase Order term, and the aggregate duration of such commercial-convenience suspensions shall not exceed thirty (30) calendar days unless Supplier agrees in writing.</w:t>
            </w:r>
          </w:p>
        </w:tc>
        <w:tc>
          <w:tcPr>
            <w:tcW w:type="dxa" w:w="1440"/>
          </w:tcPr>
          <w:p>
            <w:r>
              <w:t>Buyer may suspend work for commercial convenience no more than two (2) times during the Purchase</w:t>
              <w:br/>
              <w:t>Order term, and the aggregate duration of such commercial-convenience suspensions shall not exceed thirty (30) calendar days unless</w:t>
              <w:br/>
              <w:t>Supplier agrees in writing.</w:t>
            </w:r>
          </w:p>
        </w:tc>
        <w:tc>
          <w:tcPr>
            <w:tcW w:type="dxa" w:w="1440"/>
          </w:tcPr>
          <w:p>
            <w:r>
              <w:t>Buyer may suspend work for commercial convenience no more than two (2) times during the Purchase</w:t>
              <w:br/>
              <w:t>Order term, and the aggregate duration of such commercial-convenience suspensions shall not exceed thirty (30) calendar days unless</w:t>
              <w:br/>
              <w:t>Supplier agrees in writing.</w:t>
            </w:r>
          </w:p>
        </w:tc>
        <w:tc>
          <w:tcPr>
            <w:tcW w:type="dxa" w:w="1440"/>
          </w:tcPr>
          <w:p>
            <w:r>
              <w:t>Standardized preservation protocol requirements within the contract text and escalated unresolved maintenance cost allocations to the procurement board for final ruling.</w:t>
              <w:br/>
              <w:br/>
              <w:t>Historical Reference</w:t>
              <w:br/>
              <w:t>Sources:</w:t>
              <w:br/>
              <w:t>• d1.docx – Suspension</w:t>
              <w:br/>
              <w:t>• d2.docx – Suspension</w:t>
            </w:r>
          </w:p>
        </w:tc>
      </w:tr>
      <w:tr>
        <w:tc>
          <w:tcPr>
            <w:tcW w:type="dxa" w:w="1440"/>
          </w:tcPr>
          <w:p>
            <w:r>
              <w:t>Change Orders</w:t>
            </w:r>
          </w:p>
        </w:tc>
        <w:tc>
          <w:tcPr>
            <w:tcW w:type="dxa" w:w="1440"/>
          </w:tcPr>
          <w:p>
            <w:r>
              <w:t>Formal amendment process defined</w:t>
            </w:r>
          </w:p>
        </w:tc>
        <w:tc>
          <w:tcPr>
            <w:tcW w:type="dxa" w:w="1440"/>
          </w:tcPr>
          <w:p>
            <w:r>
              <w:t>Provisions regarding 'Formal amendment process defined': In case of inconsistency, the following order applies: (a) signed Purchase Order amendment; (b) Special Conditions in Articles 00511. 16; (c) Annex B - Commercial Schedule; (d) Annex C - Logistics Protocol; (e) the General Procurement Conditions; and (f) email clarifications not incorporated by amendment.</w:t>
            </w:r>
          </w:p>
        </w:tc>
        <w:tc>
          <w:tcPr>
            <w:tcW w:type="dxa" w:w="1440"/>
          </w:tcPr>
          <w:p>
            <w:r>
              <w:t>In case of inconsistency, the following order applies: (a) signed Purchase Order amendment; (b)</w:t>
              <w:br/>
              <w:t>Special Conditions in Articles 00511.2 to 00511.16; (c) Annex B - Commercial Schedule; (d) Annex C - Logistics Protocol; (e) the</w:t>
              <w:br/>
              <w:t>General Procurement Conditions; and (f) email clarifications not incorporated by amendment.</w:t>
            </w:r>
          </w:p>
        </w:tc>
        <w:tc>
          <w:tcPr>
            <w:tcW w:type="dxa" w:w="1440"/>
          </w:tcPr>
          <w:p>
            <w:r>
              <w:t>In case of inconsistency, the following order applies: (a) signed Purchase Order amendment; (b)</w:t>
              <w:br/>
              <w:t>Special Conditions in Articles 00511.2 to 00511.16; (c) Annex B - Commercial Schedule; (d) Annex C - Logistics Protocol; (e) the</w:t>
              <w:br/>
              <w:t>General Procurement Conditions; and (f) email clarifications not incorporated by amendment.</w:t>
            </w:r>
          </w:p>
        </w:tc>
        <w:tc>
          <w:tcPr>
            <w:tcW w:type="dxa" w:w="1440"/>
          </w:tcPr>
          <w:p>
            <w:r>
              <w:t>Established a formal change request protocol and integrated a strict document precedence matrix to resolve conflicting instructions between technical communications and the main contract.</w:t>
              <w:br/>
              <w:br/>
              <w:t>Historical Reference</w:t>
              <w:br/>
              <w:t>Sources:</w:t>
              <w:br/>
              <w:t>• d1.docx – Change Orders</w:t>
              <w:br/>
              <w:t>• d2.docx – Change Orders</w:t>
            </w:r>
          </w:p>
        </w:tc>
      </w:tr>
      <w:tr>
        <w:tc>
          <w:tcPr>
            <w:tcW w:type="dxa" w:w="1440"/>
          </w:tcPr>
          <w:p>
            <w:r>
              <w:t>Change Orders</w:t>
            </w:r>
          </w:p>
        </w:tc>
        <w:tc>
          <w:tcPr>
            <w:tcW w:type="dxa" w:w="1440"/>
          </w:tcPr>
          <w:p>
            <w:r>
              <w:t>Timeline for approval defined</w:t>
            </w:r>
          </w:p>
        </w:tc>
        <w:tc>
          <w:tcPr>
            <w:tcW w:type="dxa" w:w="1440"/>
          </w:tcPr>
          <w:p>
            <w:r>
              <w:t>Provisions regarding 'Timeline for approval defined': In case of inconsistency, the following order applies: (a) signed Purchase Order amendment; (b) Special Conditions in Articles 00511. 16; (c) Annex B - Commercial Schedule; (d) Annex C - Logistics Protocol; (e) the General Procurement Conditions; and (f) email clarifications not incorporated by amendment.</w:t>
            </w:r>
          </w:p>
        </w:tc>
        <w:tc>
          <w:tcPr>
            <w:tcW w:type="dxa" w:w="1440"/>
          </w:tcPr>
          <w:p>
            <w:r>
              <w:t>In case of inconsistency, the following order applies: (a) signed Purchase Order amendment; (b)</w:t>
              <w:br/>
              <w:t>Special Conditions in Articles 00511.2 to 00511.16; (c) Annex B - Commercial Schedule; (d) Annex C - Logistics Protocol; (e) the</w:t>
              <w:br/>
              <w:t>General Procurement Conditions; and (f) email clarifications not incorporated by amendment.</w:t>
            </w:r>
          </w:p>
        </w:tc>
        <w:tc>
          <w:tcPr>
            <w:tcW w:type="dxa" w:w="1440"/>
          </w:tcPr>
          <w:p>
            <w:r>
              <w:t>In case of inconsistency, the following order applies: (a) signed Purchase Order amendment; (b)</w:t>
              <w:br/>
              <w:t>Special Conditions in Articles 00511.2 to 00511.16; (c) Annex B - Commercial Schedule; (d) Annex C - Logistics Protocol; (e) the</w:t>
              <w:br/>
              <w:t>General Procurement Conditions; and (f) email clarifications not incorporated by amendment.</w:t>
            </w:r>
          </w:p>
        </w:tc>
        <w:tc>
          <w:tcPr>
            <w:tcW w:type="dxa" w:w="1440"/>
          </w:tcPr>
          <w:p>
            <w:r>
              <w:t>Addressed approval timeline gaps by assigning a vendor working group to replace vague 'reasonable commercial' language with firm deadlines and flagging unilateral directives for removal.</w:t>
              <w:br/>
              <w:br/>
              <w:t>Historical Reference</w:t>
              <w:br/>
              <w:t>Sources:</w:t>
              <w:br/>
              <w:t>• d1.docx – Change Orders</w:t>
              <w:br/>
              <w:t>• d2.docx – Change Orders</w:t>
            </w:r>
          </w:p>
        </w:tc>
      </w:tr>
      <w:tr>
        <w:tc>
          <w:tcPr>
            <w:tcW w:type="dxa" w:w="1440"/>
          </w:tcPr>
          <w:p>
            <w:r>
              <w:t>Governing Law</w:t>
            </w:r>
          </w:p>
        </w:tc>
        <w:tc>
          <w:tcPr>
            <w:tcW w:type="dxa" w:w="1440"/>
          </w:tcPr>
          <w:p>
            <w:r>
              <w:t>Applicable law specified</w:t>
            </w:r>
          </w:p>
        </w:tc>
        <w:tc>
          <w:tcPr>
            <w:tcW w:type="dxa" w:w="1440"/>
          </w:tcPr>
          <w:p>
            <w:r>
              <w:t>Provisions regarding 'Applicable law specified': This Purchase Order and all non-contractual obligations arising out of or in connection with it shall be governed by the laws of India, excluding conflict-of-law principles.</w:t>
            </w:r>
          </w:p>
        </w:tc>
        <w:tc>
          <w:tcPr>
            <w:tcW w:type="dxa" w:w="1440"/>
          </w:tcPr>
          <w:p>
            <w:r>
              <w:t>This Purchase Order and all non-contractual obligations arising out of or in connection with it shall be</w:t>
              <w:br/>
              <w:t>governed by the laws of India, excluding conflict-of-law principles.</w:t>
            </w:r>
          </w:p>
        </w:tc>
        <w:tc>
          <w:tcPr>
            <w:tcW w:type="dxa" w:w="1440"/>
          </w:tcPr>
          <w:p>
            <w:r>
              <w:t>Clause contains material limitations, exceptions, carve-outs, conditions, or restricted applicability</w:t>
            </w:r>
          </w:p>
        </w:tc>
        <w:tc>
          <w:tcPr>
            <w:tcW w:type="dxa" w:w="1440"/>
          </w:tcPr>
          <w:p>
            <w:r>
              <w:t>Historically, governing law requirements were addressed by implementing a standardized legal framework across all global procurement files to ensure consistency.</w:t>
              <w:br/>
              <w:br/>
              <w:t>Historical Reference</w:t>
              <w:br/>
              <w:t>Source:</w:t>
              <w:br/>
              <w:t>d1.docx</w:t>
              <w:br/>
              <w:t>Clause: Governing Law</w:t>
              <w:br/>
              <w:t>Requirement: Applicable law specified</w:t>
              <w:br/>
              <w:br/>
              <w:t>Quote:</w:t>
              <w:br/>
              <w:t>"Standardized governing law framework applied across all active global procurement files."</w:t>
            </w:r>
          </w:p>
        </w:tc>
      </w:tr>
      <w:tr>
        <w:tc>
          <w:tcPr>
            <w:tcW w:type="dxa" w:w="1440"/>
          </w:tcPr>
          <w:p>
            <w:r>
              <w:t>Dispute Resolution</w:t>
            </w:r>
          </w:p>
        </w:tc>
        <w:tc>
          <w:tcPr>
            <w:tcW w:type="dxa" w:w="1440"/>
          </w:tcPr>
          <w:p>
            <w:r>
              <w:t>Arbitration mechanism defined</w:t>
            </w:r>
          </w:p>
        </w:tc>
        <w:tc>
          <w:tcPr>
            <w:tcW w:type="dxa" w:w="1440"/>
          </w:tcPr>
          <w:p>
            <w:r>
              <w:t>Provisions regarding 'Arbitration mechanism defined': Disputes limited to laboratory test methodology shall first be referred to a technical expert in Mumbai; if the expert's determination is rejected, only the remaining legal dispute proceeds to Singapore arbitration.</w:t>
            </w:r>
          </w:p>
        </w:tc>
        <w:tc>
          <w:tcPr>
            <w:tcW w:type="dxa" w:w="1440"/>
          </w:tcPr>
          <w:p>
            <w:r>
              <w:t>Disputes limited to laboratory test methodology shall</w:t>
              <w:br/>
              <w:t>first be referred to a technical expert in Mumbai; if the expert's determination is rejected, only the remaining legal dispute proceeds to</w:t>
              <w:br/>
              <w:t>Singapore arbitration.</w:t>
            </w:r>
          </w:p>
        </w:tc>
        <w:tc>
          <w:tcPr>
            <w:tcW w:type="dxa" w:w="1440"/>
          </w:tcPr>
          <w:p>
            <w:r>
              <w:t>Disputes limited to laboratory test methodology shall</w:t>
              <w:br/>
              <w:t>first be referred to a technical expert in Mumbai; if the expert's determination is rejected, only the remaining legal dispute proceeds to</w:t>
              <w:br/>
              <w:t>Singapore arbitration.</w:t>
            </w:r>
          </w:p>
        </w:tc>
        <w:tc>
          <w:tcPr>
            <w:tcW w:type="dxa" w:w="1440"/>
          </w:tcPr>
          <w:p>
            <w:r>
              <w:t>Previous efforts focused on introducing multi-tier frameworks and proposing updated arbitration mechanisms to replace direct municipal court litigation.</w:t>
              <w:br/>
              <w:br/>
              <w:t>Historical Reference</w:t>
              <w:br/>
              <w:t>Sources:</w:t>
              <w:br/>
              <w:t>• d1.docx – Dispute Resolution</w:t>
              <w:br/>
              <w:t>• d2.docx – Dispute Resolution</w:t>
            </w:r>
          </w:p>
        </w:tc>
      </w:tr>
      <w:tr>
        <w:tc>
          <w:tcPr>
            <w:tcW w:type="dxa" w:w="1440"/>
          </w:tcPr>
          <w:p>
            <w:r>
              <w:t>Dispute Resolution</w:t>
            </w:r>
          </w:p>
        </w:tc>
        <w:tc>
          <w:tcPr>
            <w:tcW w:type="dxa" w:w="1440"/>
          </w:tcPr>
          <w:p>
            <w:r>
              <w:t>Seat of arbitration specified</w:t>
            </w:r>
          </w:p>
        </w:tc>
        <w:tc>
          <w:tcPr>
            <w:tcW w:type="dxa" w:w="1440"/>
          </w:tcPr>
          <w:p>
            <w:r>
              <w:t>Provisions regarding 'Seat of arbitration specified': Disputes limited to laboratory test methodology shall first be referred to a technical expert in Mumbai; if the expert's determination is rejected, only the remaining legal dispute proceeds to Singapore arbitration.</w:t>
            </w:r>
          </w:p>
        </w:tc>
        <w:tc>
          <w:tcPr>
            <w:tcW w:type="dxa" w:w="1440"/>
          </w:tcPr>
          <w:p>
            <w:r>
              <w:t>Disputes limited to laboratory test methodology shall</w:t>
              <w:br/>
              <w:t>first be referred to a technical expert in Mumbai; if the expert's determination is rejected, only the remaining legal dispute proceeds to</w:t>
              <w:br/>
              <w:t>Singapore arbitration.</w:t>
            </w:r>
          </w:p>
        </w:tc>
        <w:tc>
          <w:tcPr>
            <w:tcW w:type="dxa" w:w="1440"/>
          </w:tcPr>
          <w:p>
            <w:r>
              <w:t>Disputes limited to laboratory test methodology shall</w:t>
              <w:br/>
              <w:t>first be referred to a technical expert in Mumbai; if the expert's determination is rejected, only the remaining legal dispute proceeds to</w:t>
              <w:br/>
              <w:t>Singapore arbitration.</w:t>
            </w:r>
          </w:p>
        </w:tc>
        <w:tc>
          <w:tcPr>
            <w:tcW w:type="dxa" w:w="1440"/>
          </w:tcPr>
          <w:p>
            <w:r>
              <w:t>Historical gaps in designating a legal seat were addressed by evaluating alternative international neutral locations through the legal committee.</w:t>
              <w:br/>
              <w:br/>
              <w:t>Historical Reference</w:t>
              <w:br/>
              <w:t>Sources:</w:t>
              <w:br/>
              <w:t>• d1.docx – Dispute Resolution</w:t>
              <w:br/>
              <w:t>• d2.docx – Dispute Resolution</w:t>
            </w:r>
          </w:p>
        </w:tc>
      </w:tr>
      <w:tr>
        <w:tc>
          <w:tcPr>
            <w:tcW w:type="dxa" w:w="1440"/>
          </w:tcPr>
          <w:p>
            <w:r>
              <w:t>Insurance</w:t>
            </w:r>
          </w:p>
        </w:tc>
        <w:tc>
          <w:tcPr>
            <w:tcW w:type="dxa" w:w="1440"/>
          </w:tcPr>
          <w:p>
            <w:r>
              <w:t>Insurance responsibilities defined</w:t>
            </w:r>
          </w:p>
        </w:tc>
        <w:tc>
          <w:tcPr>
            <w:tcW w:type="dxa" w:w="1440"/>
          </w:tcPr>
          <w:p>
            <w:r>
              <w:t>Provisions regarding 'Insurance responsibilities defined': Article 00511. 4 - Delivery, Readiness, and Storage.</w:t>
            </w:r>
          </w:p>
        </w:tc>
        <w:tc>
          <w:tcPr>
            <w:tcW w:type="dxa" w:w="1440"/>
          </w:tcPr>
          <w:p>
            <w:r>
              <w:t>Article 00511.4 - Delivery, Readiness, and Storage</w:t>
            </w:r>
          </w:p>
        </w:tc>
        <w:tc>
          <w:tcPr>
            <w:tcW w:type="dxa" w:w="1440"/>
          </w:tcPr>
          <w:p>
            <w:r>
              <w:t>Article 00511.4 - Delivery, Readiness, and Storage</w:t>
            </w:r>
          </w:p>
        </w:tc>
        <w:tc>
          <w:tcPr>
            <w:tcW w:type="dxa" w:w="1440"/>
          </w:tcPr>
          <w:p>
            <w:r>
              <w:t>Historically, insurance responsibilities were validated against corporate risk baselines and expanded via supplementary agreements to cover specialized international transit risks.</w:t>
              <w:br/>
              <w:br/>
              <w:t>Historical Reference</w:t>
              <w:br/>
              <w:t>Sources:</w:t>
              <w:br/>
              <w:t>• d1.docx – Insurance</w:t>
              <w:br/>
              <w:t>• d2.docx – Insurance</w:t>
            </w:r>
          </w:p>
        </w:tc>
      </w:tr>
      <w:tr>
        <w:tc>
          <w:tcPr>
            <w:tcW w:type="dxa" w:w="1440"/>
          </w:tcPr>
          <w:p>
            <w:r>
              <w:t>Insurance</w:t>
            </w:r>
          </w:p>
        </w:tc>
        <w:tc>
          <w:tcPr>
            <w:tcW w:type="dxa" w:w="1440"/>
          </w:tcPr>
          <w:p>
            <w:r>
              <w:t>Equipment damage covered while at buyer premises</w:t>
            </w:r>
          </w:p>
        </w:tc>
        <w:tc>
          <w:tcPr>
            <w:tcW w:type="dxa" w:w="1440"/>
          </w:tcPr>
          <w:p>
            <w:r>
              <w:t>Provisions regarding 'Equipment damage covered while at buyer premises': Storage charges are without prejudice to Supplier's right to claim insurance or preservation costs caused by abnormal storage conditions.</w:t>
            </w:r>
          </w:p>
        </w:tc>
        <w:tc>
          <w:tcPr>
            <w:tcW w:type="dxa" w:w="1440"/>
          </w:tcPr>
          <w:p>
            <w:r>
              <w:t>Storage charges are</w:t>
              <w:br/>
              <w:t>without prejudice to Supplier's right to claim insurance or preservation costs caused by abnormal storage conditions.</w:t>
            </w:r>
          </w:p>
        </w:tc>
        <w:tc>
          <w:tcPr>
            <w:tcW w:type="dxa" w:w="1440"/>
          </w:tcPr>
          <w:p>
            <w:r>
              <w:t>Storage charges are</w:t>
              <w:br/>
              <w:t>without prejudice to Supplier's right to claim insurance or preservation costs caused by abnormal storage conditions.</w:t>
            </w:r>
          </w:p>
        </w:tc>
        <w:tc>
          <w:tcPr>
            <w:tcW w:type="dxa" w:w="1440"/>
          </w:tcPr>
          <w:p>
            <w:r>
              <w:t>Past non-compliance regarding equipment damage at buyer premises was mitigated by securing a secondary comprehensive corporate property rider policy to accept field damage risks.</w:t>
              <w:br/>
              <w:br/>
              <w:t>Historical Reference</w:t>
              <w:br/>
              <w:t>Source:</w:t>
              <w:br/>
              <w:t>d1.docx</w:t>
              <w:br/>
              <w:t>Clause: Insurance</w:t>
              <w:br/>
              <w:t>Requirement: Equipment damage covered while at buyer premises</w:t>
              <w:br/>
              <w:br/>
              <w:t>Quote:</w:t>
              <w:br/>
              <w:t>"Management accepted field damage risk after securing a secondary comprehensive corporate property rider policy."</w:t>
            </w:r>
          </w:p>
        </w:tc>
      </w:tr>
      <w:tr>
        <w:tc>
          <w:tcPr>
            <w:tcW w:type="dxa" w:w="1440"/>
          </w:tcPr>
          <w:p>
            <w:r>
              <w:t>Liability</w:t>
            </w:r>
          </w:p>
        </w:tc>
        <w:tc>
          <w:tcPr>
            <w:tcW w:type="dxa" w:w="1440"/>
          </w:tcPr>
          <w:p>
            <w:r>
              <w:t>Aggregate liability cap defined</w:t>
            </w:r>
          </w:p>
        </w:tc>
        <w:tc>
          <w:tcPr>
            <w:tcW w:type="dxa" w:w="1440"/>
          </w:tcPr>
          <w:p>
            <w:r>
              <w:t>Provisions regarding 'Aggregate liability cap defined': Supplier's aggregate liability for repair or replacement of defective equipment under this Article shall not exceed ten percent (10%) of the total Purchase Order value.</w:t>
            </w:r>
          </w:p>
        </w:tc>
        <w:tc>
          <w:tcPr>
            <w:tcW w:type="dxa" w:w="1440"/>
          </w:tcPr>
          <w:p>
            <w:r>
              <w:t>Supplier's aggregate liability for repair</w:t>
              <w:br/>
              <w:t>or replacement of defective equipment under this Article shall not exceed ten percent (10%) of the total Purchase Order value.</w:t>
            </w:r>
          </w:p>
        </w:tc>
        <w:tc>
          <w:tcPr>
            <w:tcW w:type="dxa" w:w="1440"/>
          </w:tcPr>
          <w:p>
            <w:r>
              <w:t>Supplier's aggregate liability for repair</w:t>
              <w:br/>
              <w:t>or replacement of defective equipment under this Article shall not exceed ten percent (10%) of the total Purchase Order value.</w:t>
            </w:r>
          </w:p>
        </w:tc>
        <w:tc>
          <w:tcPr>
            <w:tcW w:type="dxa" w:w="1440"/>
          </w:tcPr>
          <w:p>
            <w:r>
              <w:t>Historically, efforts focused on transitioning from uncapped liability to defined caps, negotiating limits down from 100% of PO value toward standard corporate risk margins.</w:t>
              <w:br/>
              <w:br/>
              <w:t>Historical Reference</w:t>
              <w:br/>
              <w:t>Sources:</w:t>
              <w:br/>
              <w:t>• d1.docx – Liability</w:t>
              <w:br/>
              <w:t>• d2.docx – Liability</w:t>
            </w:r>
          </w:p>
        </w:tc>
      </w:tr>
      <w:tr>
        <w:tc>
          <w:tcPr>
            <w:tcW w:type="dxa" w:w="1440"/>
          </w:tcPr>
          <w:p>
            <w:r>
              <w:t>Liability</w:t>
            </w:r>
          </w:p>
        </w:tc>
        <w:tc>
          <w:tcPr>
            <w:tcW w:type="dxa" w:w="1440"/>
          </w:tcPr>
          <w:p>
            <w:r>
              <w:t>Liability carve-outs defined</w:t>
            </w:r>
          </w:p>
        </w:tc>
        <w:tc>
          <w:tcPr>
            <w:tcW w:type="dxa" w:w="1440"/>
          </w:tcPr>
          <w:p>
            <w:r>
              <w:t>Provisions regarding 'Liability carve-outs defined': The cap in Article 00511. 1 does not apply to direct costs of emergency removal, re-installation, or temporary site stabilization if the defect creates a safety shutdown.</w:t>
            </w:r>
          </w:p>
        </w:tc>
        <w:tc>
          <w:tcPr>
            <w:tcW w:type="dxa" w:w="1440"/>
          </w:tcPr>
          <w:p>
            <w:r>
              <w:t>The cap in Article 00511.8.1 does not apply to direct costs of emergency removal, re-installation, or</w:t>
              <w:br/>
              <w:t>temporary site stabilization if the defect creates a safety shutdown.</w:t>
            </w:r>
          </w:p>
        </w:tc>
        <w:tc>
          <w:tcPr>
            <w:tcW w:type="dxa" w:w="1440"/>
          </w:tcPr>
          <w:p>
            <w:r>
              <w:t>Clause contains material limitations, exceptions, carve-outs, conditions, or restricted applicability</w:t>
            </w:r>
          </w:p>
        </w:tc>
        <w:tc>
          <w:tcPr>
            <w:tcW w:type="dxa" w:w="1440"/>
          </w:tcPr>
          <w:p>
            <w:r>
              <w:t>Past actions involved tightening carve-out scopes by removing open-ended safety shutdown exclusions to ensure operational errors remained within the liability cap.</w:t>
              <w:br/>
              <w:br/>
              <w:t>Historical Reference</w:t>
              <w:br/>
              <w:t>Source:</w:t>
              <w:br/>
              <w:t>d1.docx</w:t>
              <w:br/>
              <w:t>Clause: Liability</w:t>
              <w:br/>
              <w:t>Requirement: Liability carve-outs defined</w:t>
              <w:br/>
              <w:br/>
              <w:t>Quote:</w:t>
              <w:br/>
              <w:t>"Reduced exposure profiles achieved by removing open-ended safety shutdown exclusions from original drafts."</w:t>
            </w:r>
          </w:p>
        </w:tc>
      </w:tr>
      <w:tr>
        <w:tc>
          <w:tcPr>
            <w:tcW w:type="dxa" w:w="1440"/>
          </w:tcPr>
          <w:p>
            <w:r>
              <w:t>Consequential Damages</w:t>
            </w:r>
          </w:p>
        </w:tc>
        <w:tc>
          <w:tcPr>
            <w:tcW w:type="dxa" w:w="1440"/>
          </w:tcPr>
          <w:p>
            <w:r>
              <w:t>Consequential damages excluded</w:t>
            </w:r>
          </w:p>
        </w:tc>
        <w:tc>
          <w:tcPr>
            <w:tcW w:type="dxa" w:w="1440"/>
          </w:tcPr>
          <w:p>
            <w:r>
              <w:t>Provisions regarding 'Consequential damages excluded': Neither party shall be liable to the other for loss of revenue, loss of profit, loss of use, loss of production, downtime, loss of business opportunity, indirect damages, special damages, punitive damages, exemplary damages, or consequential damages.</w:t>
            </w:r>
          </w:p>
        </w:tc>
        <w:tc>
          <w:tcPr>
            <w:tcW w:type="dxa" w:w="1440"/>
          </w:tcPr>
          <w:p>
            <w:r>
              <w:t>Neither party shall be liable to the other for loss of revenue, loss of profit, loss of use, loss</w:t>
              <w:br/>
              <w:t>of production, downtime, loss of business opportunity, indirect damages, special damages, punitive damages, exemplary damages, or</w:t>
              <w:br/>
              <w:t>consequential damages.</w:t>
            </w:r>
          </w:p>
        </w:tc>
        <w:tc>
          <w:tcPr>
            <w:tcW w:type="dxa" w:w="1440"/>
          </w:tcPr>
          <w:p>
            <w:r>
              <w:t>Clause contains material limitations, exceptions, carve-outs, conditions, or restricted applicability</w:t>
            </w:r>
          </w:p>
        </w:tc>
        <w:tc>
          <w:tcPr>
            <w:tcW w:type="dxa" w:w="1440"/>
          </w:tcPr>
          <w:p>
            <w:r>
              <w:t>Historically, legal teams focused on clarifying damage definitions and integrating absolute mutual waivers to isolate both entities from speculative financial claims.</w:t>
              <w:br/>
              <w:br/>
              <w:t>Historical Reference</w:t>
              <w:br/>
              <w:t>Sources:</w:t>
              <w:br/>
              <w:t>• d1.docx – Consequential Damages</w:t>
              <w:br/>
              <w:t>• d2.docx – Consequential Damages</w:t>
            </w:r>
          </w:p>
        </w:tc>
      </w:tr>
      <w:tr>
        <w:tc>
          <w:tcPr>
            <w:tcW w:type="dxa" w:w="1440"/>
          </w:tcPr>
          <w:p>
            <w:r>
              <w:t>Consequential Damages</w:t>
            </w:r>
          </w:p>
        </w:tc>
        <w:tc>
          <w:tcPr>
            <w:tcW w:type="dxa" w:w="1440"/>
          </w:tcPr>
          <w:p>
            <w:r>
              <w:t>Exceptions to exclusion defined</w:t>
            </w:r>
          </w:p>
        </w:tc>
        <w:tc>
          <w:tcPr>
            <w:tcW w:type="dxa" w:w="1440"/>
          </w:tcPr>
          <w:p>
            <w:r>
              <w:t>Provisions regarding 'Exceptions to exclusion defined': Neither party shall be liable to the other for loss of revenue, loss of profit, loss of use, loss of production, downtime, loss of business opportunity, indirect damages, special damages, punitive damages, exemplary damages, or consequential damages.</w:t>
            </w:r>
          </w:p>
        </w:tc>
        <w:tc>
          <w:tcPr>
            <w:tcW w:type="dxa" w:w="1440"/>
          </w:tcPr>
          <w:p>
            <w:r>
              <w:t>Neither party shall be liable to the other for loss of revenue, loss of profit, loss of use, loss</w:t>
              <w:br/>
              <w:t>of production, downtime, loss of business opportunity, indirect damages, special damages, punitive damages, exemplary damages, or</w:t>
              <w:br/>
              <w:t>consequential damages.</w:t>
            </w:r>
          </w:p>
        </w:tc>
        <w:tc>
          <w:tcPr>
            <w:tcW w:type="dxa" w:w="1440"/>
          </w:tcPr>
          <w:p>
            <w:r>
              <w:t>Clause contains material limitations, exceptions, carve-outs, conditions, or restricted applicability</w:t>
            </w:r>
          </w:p>
        </w:tc>
        <w:tc>
          <w:tcPr>
            <w:tcW w:type="dxa" w:w="1440"/>
          </w:tcPr>
          <w:p>
            <w:r>
              <w:t>Past efforts involved narrowing or completely removing exceptions to achieve an unconditional waiver structure, though some vendors successfully re-inserted specific carve-outs for environmental incidents.</w:t>
              <w:br/>
              <w:br/>
              <w:t>Historical Reference</w:t>
              <w:br/>
              <w:t>Sources:</w:t>
              <w:br/>
              <w:t>• d1.docx – Consequential Damages</w:t>
              <w:br/>
              <w:t>• d2.docx – Consequential Damages</w:t>
            </w:r>
          </w:p>
        </w:tc>
      </w:tr>
      <w:tr>
        <w:tc>
          <w:tcPr>
            <w:tcW w:type="dxa" w:w="1440"/>
          </w:tcPr>
          <w:p>
            <w:r>
              <w:t>Critical Sub-Suppliers</w:t>
            </w:r>
          </w:p>
        </w:tc>
        <w:tc>
          <w:tcPr>
            <w:tcW w:type="dxa" w:w="1440"/>
          </w:tcPr>
          <w:p>
            <w:r>
              <w:t>Approved critical vendors identified</w:t>
            </w:r>
          </w:p>
        </w:tc>
        <w:tc>
          <w:tcPr>
            <w:tcW w:type="dxa" w:w="1440"/>
          </w:tcPr>
          <w:p>
            <w:r>
              <w:t>Provisions regarding 'Approved critical vendors identified': Annex D approved critical sub-suppliers: BrightForge Rings Pvt.</w:t>
            </w:r>
          </w:p>
        </w:tc>
        <w:tc>
          <w:tcPr>
            <w:tcW w:type="dxa" w:w="1440"/>
          </w:tcPr>
          <w:p>
            <w:r>
              <w:t>Annex D approved critical sub-suppliers: BrightForge Rings Pvt.</w:t>
            </w:r>
          </w:p>
        </w:tc>
        <w:tc>
          <w:tcPr>
            <w:tcW w:type="dxa" w:w="1440"/>
          </w:tcPr>
          <w:p>
            <w:r>
              <w:t>Annex D approved critical sub-suppliers: BrightForge Rings Pvt.</w:t>
            </w:r>
          </w:p>
        </w:tc>
        <w:tc>
          <w:tcPr>
            <w:tcW w:type="dxa" w:w="1440"/>
          </w:tcPr>
          <w:p>
            <w:r>
              <w:t>Historically, efforts focused on expanding the approved vendor registry to include both forging houses and metallurgical refineries to eliminate supply chain vulnerabilities.</w:t>
              <w:br/>
              <w:br/>
              <w:t>Historical Reference</w:t>
              <w:br/>
              <w:t>Sources:</w:t>
              <w:br/>
              <w:t>• d1.docx – Critical Sub-Suppliers</w:t>
              <w:br/>
              <w:t>• d2.docx – Critical Sub-Suppliers</w:t>
            </w:r>
          </w:p>
        </w:tc>
      </w:tr>
      <w:tr>
        <w:tc>
          <w:tcPr>
            <w:tcW w:type="dxa" w:w="1440"/>
          </w:tcPr>
          <w:p>
            <w:r>
              <w:t>Critical Sub-Suppliers</w:t>
            </w:r>
          </w:p>
        </w:tc>
        <w:tc>
          <w:tcPr>
            <w:tcW w:type="dxa" w:w="1440"/>
          </w:tcPr>
          <w:p>
            <w:r>
              <w:t>Vendor substitution restrictions defined</w:t>
            </w:r>
          </w:p>
        </w:tc>
        <w:tc>
          <w:tcPr>
            <w:tcW w:type="dxa" w:w="1440"/>
          </w:tcPr>
          <w:p>
            <w:r>
              <w:t>Provisions regarding 'Vendor substitution restrictions defined': Annex D approved critical sub-suppliers: BrightForge Rings Pvt.</w:t>
            </w:r>
          </w:p>
        </w:tc>
        <w:tc>
          <w:tcPr>
            <w:tcW w:type="dxa" w:w="1440"/>
          </w:tcPr>
          <w:p>
            <w:r>
              <w:t>Annex D approved critical sub-suppliers: BrightForge Rings Pvt.</w:t>
            </w:r>
          </w:p>
        </w:tc>
        <w:tc>
          <w:tcPr>
            <w:tcW w:type="dxa" w:w="1440"/>
          </w:tcPr>
          <w:p>
            <w:r>
              <w:t>Annex D approved critical sub-suppliers: BrightForge Rings Pvt.</w:t>
            </w:r>
          </w:p>
        </w:tc>
        <w:tc>
          <w:tcPr>
            <w:tcW w:type="dxa" w:w="1440"/>
          </w:tcPr>
          <w:p>
            <w:r>
              <w:t>Past actions involved flagging unauthorized substitution risks through internal audits to remediate clauses that allowed vendors to switch suppliers without prior buyer approval.</w:t>
              <w:br/>
              <w:br/>
              <w:t>Historical Reference</w:t>
              <w:br/>
              <w:t>Source:</w:t>
              <w:br/>
              <w:t>d1.docx</w:t>
              <w:br/>
              <w:t>Clause: Critical Sub-Suppliers</w:t>
              <w:br/>
              <w:t>Requirement: Vendor substitution restrictions defined</w:t>
              <w:br/>
              <w:br/>
              <w:t>Quote:</w:t>
              <w:br/>
              <w:t>"Unauthorized substitution risks flagged by internal audit; remediation strategy currently under review."</w:t>
            </w:r>
          </w:p>
        </w:tc>
      </w:tr>
    </w:tbl>
    <w:p>
      <w:r>
        <w:br w:type="page"/>
      </w:r>
    </w:p>
    <w:p>
      <w:pPr>
        <w:pStyle w:val="Heading2"/>
      </w:pPr>
      <w:r>
        <w:t>Table 2 - Risk Assessment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Clause</w:t>
            </w:r>
          </w:p>
        </w:tc>
        <w:tc>
          <w:tcPr>
            <w:tcW w:type="dxa" w:w="1440"/>
          </w:tcPr>
          <w:p>
            <w:r>
              <w:t>Requirement</w:t>
            </w:r>
          </w:p>
        </w:tc>
        <w:tc>
          <w:tcPr>
            <w:tcW w:type="dxa" w:w="1440"/>
          </w:tcPr>
          <w:p>
            <w:r>
              <w:t>RAG</w:t>
            </w:r>
          </w:p>
        </w:tc>
        <w:tc>
          <w:tcPr>
            <w:tcW w:type="dxa" w:w="1440"/>
          </w:tcPr>
          <w:p>
            <w:r>
              <w:t>Risk</w:t>
            </w:r>
          </w:p>
        </w:tc>
        <w:tc>
          <w:tcPr>
            <w:tcW w:type="dxa" w:w="1440"/>
          </w:tcPr>
          <w:p>
            <w:r>
              <w:t>Rationale</w:t>
            </w:r>
          </w:p>
        </w:tc>
        <w:tc>
          <w:tcPr>
            <w:tcW w:type="dxa" w:w="1440"/>
          </w:tcPr>
          <w:p>
            <w:r>
              <w:t>Mitigation</w:t>
            </w:r>
          </w:p>
        </w:tc>
      </w:tr>
      <w:tr>
        <w:tc>
          <w:tcPr>
            <w:tcW w:type="dxa" w:w="1440"/>
          </w:tcPr>
          <w:p>
            <w:r>
              <w:t>Payment Terms</w:t>
            </w:r>
          </w:p>
        </w:tc>
        <w:tc>
          <w:tcPr>
            <w:tcW w:type="dxa" w:w="1440"/>
          </w:tcPr>
          <w:p>
            <w:r>
              <w:t>45% Minimum Advance</w:t>
            </w:r>
          </w:p>
        </w:tc>
        <w:tc>
          <w:tcPr>
            <w:tcW w:type="dxa" w:w="1440"/>
          </w:tcPr>
          <w:p>
            <w:r>
              <w:t>Amber</w:t>
            </w:r>
          </w:p>
        </w:tc>
        <w:tc>
          <w:tcPr>
            <w:tcW w:type="dxa" w:w="1440"/>
          </w:tcPr>
          <w:p>
            <w:r>
              <w:t>Cash-flow risk and delayed advance payment</w:t>
            </w:r>
          </w:p>
        </w:tc>
        <w:tc>
          <w:tcPr>
            <w:tcW w:type="dxa" w:w="1440"/>
          </w:tcPr>
          <w:p>
            <w:r>
              <w:t>The 45% advance is split into two tranches. The final 15% is conditional upon the performance bank guarantee, signed kick-off minutes, and document submission register. Failure to satisfy these within 20 days allows the Buyer to defer payment without interest, creating a dependency that delays the full realization of the required advance payment.</w:t>
            </w:r>
          </w:p>
        </w:tc>
        <w:tc>
          <w:tcPr>
            <w:tcW w:type="dxa" w:w="1440"/>
          </w:tcPr>
          <w:p>
            <w:r>
              <w:t>Remove conditional dependencies for the second advance tranche and ensure the full 45% is payable upon PO acknowledgement and furnishing of Annex B documents.</w:t>
            </w:r>
          </w:p>
        </w:tc>
      </w:tr>
      <w:tr>
        <w:tc>
          <w:tcPr>
            <w:tcW w:type="dxa" w:w="1440"/>
          </w:tcPr>
          <w:p>
            <w:r>
              <w:t>Payment Terms</w:t>
            </w:r>
          </w:p>
        </w:tc>
        <w:tc>
          <w:tcPr>
            <w:tcW w:type="dxa" w:w="1440"/>
          </w:tcPr>
          <w:p>
            <w:r>
              <w:t>All payments Net 30 days from invoice</w:t>
            </w:r>
          </w:p>
        </w:tc>
        <w:tc>
          <w:tcPr>
            <w:tcW w:type="dxa" w:w="1440"/>
          </w:tcPr>
          <w:p>
            <w:r>
              <w:t>Amber</w:t>
            </w:r>
          </w:p>
        </w:tc>
        <w:tc>
          <w:tcPr>
            <w:tcW w:type="dxa" w:w="1440"/>
          </w:tcPr>
          <w:p>
            <w:r>
              <w:t>Cash-flow risk and payment delay exposure</w:t>
            </w:r>
          </w:p>
        </w:tc>
        <w:tc>
          <w:tcPr>
            <w:tcW w:type="dxa" w:w="1440"/>
          </w:tcPr>
          <w:p>
            <w:r>
              <w:t>Payment triggers are dependent on internal buyer processes including goods receipt and inspection. This allows the 30-day clock to be deferred indefinitely based on internal administrative completion, bypassing the standard Net 30 invoice date requirement.</w:t>
            </w:r>
          </w:p>
        </w:tc>
        <w:tc>
          <w:tcPr>
            <w:tcW w:type="dxa" w:w="1440"/>
          </w:tcPr>
          <w:p>
            <w:r>
              <w:t>Set payment terms as Net 30 days from invoice receipt regardless of internal acceptance records.</w:t>
            </w:r>
          </w:p>
        </w:tc>
      </w:tr>
      <w:tr>
        <w:tc>
          <w:tcPr>
            <w:tcW w:type="dxa" w:w="1440"/>
          </w:tcPr>
          <w:p>
            <w:r>
              <w:t>Bank Guarantees</w:t>
            </w:r>
          </w:p>
        </w:tc>
        <w:tc>
          <w:tcPr>
            <w:tcW w:type="dxa" w:w="1440"/>
          </w:tcPr>
          <w:p>
            <w:r>
              <w:t>Performance Guarantee not exceeding 10%</w:t>
            </w:r>
          </w:p>
        </w:tc>
        <w:tc>
          <w:tcPr>
            <w:tcW w:type="dxa" w:w="1440"/>
          </w:tcPr>
          <w:p>
            <w:r>
              <w:t>Red</w:t>
            </w:r>
          </w:p>
        </w:tc>
        <w:tc>
          <w:tcPr>
            <w:tcW w:type="dxa" w:w="1440"/>
          </w:tcPr>
          <w:p>
            <w:r>
              <w:t>Financial exposure through excessive guarantee obligations</w:t>
            </w:r>
          </w:p>
        </w:tc>
        <w:tc>
          <w:tcPr>
            <w:tcW w:type="dxa" w:w="1440"/>
          </w:tcPr>
          <w:p>
            <w:r>
              <w:t>The combined performance and bridge guarantees total 12 percent of the Purchase Order value, exceeding the 10 percent maximum requirement. This creates higher collateral costs and cash-flow constraints for the Supplier.</w:t>
            </w:r>
          </w:p>
        </w:tc>
        <w:tc>
          <w:tcPr>
            <w:tcW w:type="dxa" w:w="1440"/>
          </w:tcPr>
          <w:p>
            <w:r>
              <w:t>Limit total performance security to a maximum of 10 percent including bridge guarantees.</w:t>
            </w:r>
          </w:p>
        </w:tc>
      </w:tr>
      <w:tr>
        <w:tc>
          <w:tcPr>
            <w:tcW w:type="dxa" w:w="1440"/>
          </w:tcPr>
          <w:p>
            <w:r>
              <w:t>Liquidated Damages</w:t>
            </w:r>
          </w:p>
        </w:tc>
        <w:tc>
          <w:tcPr>
            <w:tcW w:type="dxa" w:w="1440"/>
          </w:tcPr>
          <w:p>
            <w:r>
              <w:t>Documentation LD not applicable</w:t>
            </w:r>
          </w:p>
        </w:tc>
        <w:tc>
          <w:tcPr>
            <w:tcW w:type="dxa" w:w="1440"/>
          </w:tcPr>
          <w:p>
            <w:r>
              <w:t>Amber</w:t>
            </w:r>
          </w:p>
        </w:tc>
        <w:tc>
          <w:tcPr>
            <w:tcW w:type="dxa" w:w="1440"/>
          </w:tcPr>
          <w:p>
            <w:r>
              <w:t>Financial exposure due to documentation LD exceptions</w:t>
            </w:r>
          </w:p>
        </w:tc>
        <w:tc>
          <w:tcPr>
            <w:tcW w:type="dxa" w:w="1440"/>
          </w:tcPr>
          <w:p>
            <w:r>
              <w:t>The clause excludes standalone liquidated damages for routine manuals and non-critical engineering submittals. This creates a gap where delays in non-critical documentation are not monetarily penalized, potentially leading to operational delays in project handover or system integration without financial recourse against the supplier.</w:t>
            </w:r>
          </w:p>
        </w:tc>
        <w:tc>
          <w:tcPr>
            <w:tcW w:type="dxa" w:w="1440"/>
          </w:tcPr>
          <w:p>
            <w:r>
              <w:t>Remove the exception for routine manuals and non-critical engineering submittals to ensure all documentation delays attract liquidated damages.</w:t>
            </w:r>
          </w:p>
        </w:tc>
      </w:tr>
      <w:tr>
        <w:tc>
          <w:tcPr>
            <w:tcW w:type="dxa" w:w="1440"/>
          </w:tcPr>
          <w:p>
            <w:r>
              <w:t>Liquidated Damages</w:t>
            </w:r>
          </w:p>
        </w:tc>
        <w:tc>
          <w:tcPr>
            <w:tcW w:type="dxa" w:w="1440"/>
          </w:tcPr>
          <w:p>
            <w:r>
              <w:t>Equipment Delivery LD 0.5% per week</w:t>
            </w:r>
          </w:p>
        </w:tc>
        <w:tc>
          <w:tcPr>
            <w:tcW w:type="dxa" w:w="1440"/>
          </w:tcPr>
          <w:p>
            <w:r>
              <w:t>Amber</w:t>
            </w:r>
          </w:p>
        </w:tc>
        <w:tc>
          <w:tcPr>
            <w:tcW w:type="dxa" w:w="1440"/>
          </w:tcPr>
          <w:p>
            <w:r>
              <w:t>Financial exposure due to liquidated damages caps</w:t>
            </w:r>
          </w:p>
        </w:tc>
        <w:tc>
          <w:tcPr>
            <w:tcW w:type="dxa" w:w="1440"/>
          </w:tcPr>
          <w:p>
            <w:r>
              <w:t>The clause limits delivery LD to 5% of the undelivered part value and an aggregate cap of 7.5% of total PO value. These limitations restrict the buyer's ability to recover full losses resulting from significant delivery delays.</w:t>
            </w:r>
          </w:p>
        </w:tc>
        <w:tc>
          <w:tcPr>
            <w:tcW w:type="dxa" w:w="1440"/>
          </w:tcPr>
          <w:p>
            <w:r>
              <w:t>Remove the 5% cap on individual undelivered parts and increase the aggregate delay exposure cap.</w:t>
            </w:r>
          </w:p>
        </w:tc>
      </w:tr>
      <w:tr>
        <w:tc>
          <w:tcPr>
            <w:tcW w:type="dxa" w:w="1440"/>
          </w:tcPr>
          <w:p>
            <w:r>
              <w:t>Liquidated Damages</w:t>
            </w:r>
          </w:p>
        </w:tc>
        <w:tc>
          <w:tcPr>
            <w:tcW w:type="dxa" w:w="1440"/>
          </w:tcPr>
          <w:p>
            <w:r>
              <w:t>Equipment Delivery LD capped at 5%</w:t>
            </w:r>
          </w:p>
        </w:tc>
        <w:tc>
          <w:tcPr>
            <w:tcW w:type="dxa" w:w="1440"/>
          </w:tcPr>
          <w:p>
            <w:r>
              <w:t>Amber</w:t>
            </w:r>
          </w:p>
        </w:tc>
        <w:tc>
          <w:tcPr>
            <w:tcW w:type="dxa" w:w="1440"/>
          </w:tcPr>
          <w:p>
            <w:r>
              <w:t>Financial exposure from elevated aggregate liquidated damages cap</w:t>
            </w:r>
          </w:p>
        </w:tc>
        <w:tc>
          <w:tcPr>
            <w:tcW w:type="dxa" w:w="1440"/>
          </w:tcPr>
          <w:p>
            <w:r>
              <w:t>While individual equipment delivery LD is capped at 5 percent, the aggregate cap for delivery LD and service credits is increased to 7.5 percent of total PO value. This exceeds the requirement of a 5 percent cap, increasing the total financial liability for the supplier.</w:t>
            </w:r>
          </w:p>
        </w:tc>
        <w:tc>
          <w:tcPr>
            <w:tcW w:type="dxa" w:w="1440"/>
          </w:tcPr>
          <w:p>
            <w:r>
              <w:t>Reduce the aggregate delay exposure cap to a maximum of 5 percent of the total Purchase Order value.</w:t>
            </w:r>
          </w:p>
        </w:tc>
      </w:tr>
      <w:tr>
        <w:tc>
          <w:tcPr>
            <w:tcW w:type="dxa" w:w="1440"/>
          </w:tcPr>
          <w:p>
            <w:r>
              <w:t>Liquidated Damages</w:t>
            </w:r>
          </w:p>
        </w:tc>
        <w:tc>
          <w:tcPr>
            <w:tcW w:type="dxa" w:w="1440"/>
          </w:tcPr>
          <w:p>
            <w:r>
              <w:t>Aggregate LD capped at 5% PO value</w:t>
            </w:r>
          </w:p>
        </w:tc>
        <w:tc>
          <w:tcPr>
            <w:tcW w:type="dxa" w:w="1440"/>
          </w:tcPr>
          <w:p>
            <w:r>
              <w:t>Red</w:t>
            </w:r>
          </w:p>
        </w:tc>
        <w:tc>
          <w:tcPr>
            <w:tcW w:type="dxa" w:w="1440"/>
          </w:tcPr>
          <w:p>
            <w:r>
              <w:t>Financial exposure from excessive liquidated damages liability</w:t>
            </w:r>
          </w:p>
        </w:tc>
        <w:tc>
          <w:tcPr>
            <w:tcW w:type="dxa" w:w="1440"/>
          </w:tcPr>
          <w:p>
            <w:r>
              <w:t>The aggregate LD cap is 7.5 percent of the total PO value, which exceeds the 5 percent requirement. This increases the total monetary penalty exposure the Supplier faces for combined delivery delays, critical document failures, and service credits.</w:t>
            </w:r>
          </w:p>
        </w:tc>
        <w:tc>
          <w:tcPr>
            <w:tcW w:type="dxa" w:w="1440"/>
          </w:tcPr>
          <w:p>
            <w:r>
              <w:t>Reduce aggregate LD and service-credit exposure to a maximum of 5 percent of total PO value.</w:t>
            </w:r>
          </w:p>
        </w:tc>
      </w:tr>
      <w:tr>
        <w:tc>
          <w:tcPr>
            <w:tcW w:type="dxa" w:w="1440"/>
          </w:tcPr>
          <w:p>
            <w:r>
              <w:t>Liquidated Damages</w:t>
            </w:r>
          </w:p>
        </w:tc>
        <w:tc>
          <w:tcPr>
            <w:tcW w:type="dxa" w:w="1440"/>
          </w:tcPr>
          <w:p>
            <w:r>
              <w:t>Remedial Work LD not applicable</w:t>
            </w:r>
          </w:p>
        </w:tc>
        <w:tc>
          <w:tcPr>
            <w:tcW w:type="dxa" w:w="1440"/>
          </w:tcPr>
          <w:p>
            <w:r>
              <w:t>Amber</w:t>
            </w:r>
          </w:p>
        </w:tc>
        <w:tc>
          <w:tcPr>
            <w:tcW w:type="dxa" w:w="1440"/>
          </w:tcPr>
          <w:p>
            <w:r>
              <w:t>Financial exposure due to lack of remedial work liquidated damages</w:t>
            </w:r>
          </w:p>
        </w:tc>
        <w:tc>
          <w:tcPr>
            <w:tcW w:type="dxa" w:w="1440"/>
          </w:tcPr>
          <w:p>
            <w:r>
              <w:t>Clause 00511.5.3 explicitly excludes liquidated damages for remedial work, warranty repairs, and replacements. This creates a financial gap where the buyer cannot recover predetermined monetary damages for delays in corrective actions, relying instead on a non-monetary corrective-action plan. This shifts the operational and financial burden of remedial delays from the supplier to the buyer.</w:t>
            </w:r>
          </w:p>
        </w:tc>
        <w:tc>
          <w:tcPr>
            <w:tcW w:type="dxa" w:w="1440"/>
          </w:tcPr>
          <w:p>
            <w:r>
              <w:t>Remove the exclusion of liquidated damages for remedial work and apply monetary penalties for delays in warranty repairs and replacements.</w:t>
            </w:r>
          </w:p>
        </w:tc>
      </w:tr>
      <w:tr>
        <w:tc>
          <w:tcPr>
            <w:tcW w:type="dxa" w:w="1440"/>
          </w:tcPr>
          <w:p>
            <w:r>
              <w:t>Guarantee</w:t>
            </w:r>
          </w:p>
        </w:tc>
        <w:tc>
          <w:tcPr>
            <w:tcW w:type="dxa" w:w="1440"/>
          </w:tcPr>
          <w:p>
            <w:r>
              <w:t>Warranty period defined</w:t>
            </w:r>
          </w:p>
        </w:tc>
        <w:tc>
          <w:tcPr>
            <w:tcW w:type="dxa" w:w="1440"/>
          </w:tcPr>
          <w:p>
            <w:r>
              <w:t>Amber</w:t>
            </w:r>
          </w:p>
        </w:tc>
        <w:tc>
          <w:tcPr>
            <w:tcW w:type="dxa" w:w="1440"/>
          </w:tcPr>
          <w:p>
            <w:r>
              <w:t>Warranty risk and reduced equipment protection</w:t>
            </w:r>
          </w:p>
        </w:tc>
        <w:tc>
          <w:tcPr>
            <w:tcW w:type="dxa" w:w="1440"/>
          </w:tcPr>
          <w:p>
            <w:r>
              <w:t>The standard guarantee is limited to only two months post-commissioning and the remedial guarantee is capped by the original dispatch date. This creates a gap where equipment may lose warranty coverage prematurely regardless of actual performance or repair quality, shifting financial burden for failures to the buyer.</w:t>
            </w:r>
          </w:p>
        </w:tc>
        <w:tc>
          <w:tcPr>
            <w:tcW w:type="dxa" w:w="1440"/>
          </w:tcPr>
          <w:p>
            <w:r>
              <w:t>Extend standard guarantee to twelve months post-commissioning and ensure remedial guarantees run for twelve months from repair without being capped by original dispatch dates.</w:t>
            </w:r>
          </w:p>
        </w:tc>
      </w:tr>
      <w:tr>
        <w:tc>
          <w:tcPr>
            <w:tcW w:type="dxa" w:w="1440"/>
          </w:tcPr>
          <w:p>
            <w:r>
              <w:t>Guarantee</w:t>
            </w:r>
          </w:p>
        </w:tc>
        <w:tc>
          <w:tcPr>
            <w:tcW w:type="dxa" w:w="1440"/>
          </w:tcPr>
          <w:p>
            <w:r>
              <w:t>2 months from commissioning or 18 months from dispatch</w:t>
            </w:r>
          </w:p>
        </w:tc>
        <w:tc>
          <w:tcPr>
            <w:tcW w:type="dxa" w:w="1440"/>
          </w:tcPr>
          <w:p>
            <w:r>
              <w:t>Amber</w:t>
            </w:r>
          </w:p>
        </w:tc>
        <w:tc>
          <w:tcPr>
            <w:tcW w:type="dxa" w:w="1440"/>
          </w:tcPr>
          <w:p>
            <w:r>
              <w:t>Warranty risk and limited remedial guarantee coverage</w:t>
            </w:r>
          </w:p>
        </w:tc>
        <w:tc>
          <w:tcPr>
            <w:tcW w:type="dxa" w:w="1440"/>
          </w:tcPr>
          <w:p>
            <w:r>
              <w:t>The remedial guarantee for replaced components is capped at 18 months from original dispatch. If a repair occurs late in the initial warranty period, the component may have little to no remaining protection regardless of the 12-month repair window, creating a gap in equipment reliability and financial exposure for premature failures.</w:t>
            </w:r>
          </w:p>
        </w:tc>
        <w:tc>
          <w:tcPr>
            <w:tcW w:type="dxa" w:w="1440"/>
          </w:tcPr>
          <w:p>
            <w:r>
              <w:t>Ensure remedial guarantees for repaired or replaced components extend for a full 12 months from the date of repair regardless of the original dispatch date.</w:t>
            </w:r>
          </w:p>
        </w:tc>
      </w:tr>
      <w:tr>
        <w:tc>
          <w:tcPr>
            <w:tcW w:type="dxa" w:w="1440"/>
          </w:tcPr>
          <w:p>
            <w:r>
              <w:t>Guarantee</w:t>
            </w:r>
          </w:p>
        </w:tc>
        <w:tc>
          <w:tcPr>
            <w:tcW w:type="dxa" w:w="1440"/>
          </w:tcPr>
          <w:p>
            <w:r>
              <w:t>Repair/replacement warranty obligations defined</w:t>
            </w:r>
          </w:p>
        </w:tc>
        <w:tc>
          <w:tcPr>
            <w:tcW w:type="dxa" w:w="1440"/>
          </w:tcPr>
          <w:p>
            <w:r>
              <w:t>Amber</w:t>
            </w:r>
          </w:p>
        </w:tc>
        <w:tc>
          <w:tcPr>
            <w:tcW w:type="dxa" w:w="1440"/>
          </w:tcPr>
          <w:p>
            <w:r>
              <w:t>Warranty risk and financial exposure</w:t>
            </w:r>
          </w:p>
        </w:tc>
        <w:tc>
          <w:tcPr>
            <w:tcW w:type="dxa" w:w="1440"/>
          </w:tcPr>
          <w:p>
            <w:r>
              <w:t>The remedial guarantee contains a sunset clause that expires 18 months from original dispatch regardless of when the repair occurred. This creates a gap where repaired components may have negligible or no remaining warranty coverage if the original dispatch date is approached, forcing the buyer to absorb repair costs prematurely.</w:t>
            </w:r>
          </w:p>
        </w:tc>
        <w:tc>
          <w:tcPr>
            <w:tcW w:type="dxa" w:w="1440"/>
          </w:tcPr>
          <w:p>
            <w:r>
              <w:t>Ensure repaired or replaced components are guaranteed for a full twelve months from the date of repair without limitation based on the original dispatch date.</w:t>
            </w:r>
          </w:p>
        </w:tc>
      </w:tr>
      <w:tr>
        <w:tc>
          <w:tcPr>
            <w:tcW w:type="dxa" w:w="1440"/>
          </w:tcPr>
          <w:p>
            <w:r>
              <w:t>Force Majeure</w:t>
            </w:r>
          </w:p>
        </w:tc>
        <w:tc>
          <w:tcPr>
            <w:tcW w:type="dxa" w:w="1440"/>
          </w:tcPr>
          <w:p>
            <w:r>
              <w:t>Force majeure events defined</w:t>
            </w:r>
          </w:p>
        </w:tc>
        <w:tc>
          <w:tcPr>
            <w:tcW w:type="dxa" w:w="1440"/>
          </w:tcPr>
          <w:p>
            <w:r>
              <w:t>Amber</w:t>
            </w:r>
          </w:p>
        </w:tc>
        <w:tc>
          <w:tcPr>
            <w:tcW w:type="dxa" w:w="1440"/>
          </w:tcPr>
          <w:p>
            <w:r>
              <w:t>force majeure limitations</w:t>
            </w:r>
          </w:p>
        </w:tc>
        <w:tc>
          <w:tcPr>
            <w:tcW w:type="dxa" w:w="1440"/>
          </w:tcPr>
          <w:p>
            <w:r>
              <w:t>The clause restricts force majeure relief for supply chain disruptions to only named Tier-1 sub-suppliers in Annex D and the approved carrier. This creates operational risk by excluding unnamed subcontractors and alternate vendors, potentially leaving the supplier unable to claim relief for legitimate disruptions within the broader supply chain unless the event independently satisfies general force majeure criteria.</w:t>
            </w:r>
          </w:p>
        </w:tc>
        <w:tc>
          <w:tcPr>
            <w:tcW w:type="dxa" w:w="1440"/>
          </w:tcPr>
          <w:p>
            <w:r>
              <w:t>Extend force majeure relief to include all approved sub-suppliers and logistics providers regardless of their Tier-1 status or inclusion in Annex D.</w:t>
            </w:r>
          </w:p>
        </w:tc>
      </w:tr>
      <w:tr>
        <w:tc>
          <w:tcPr>
            <w:tcW w:type="dxa" w:w="1440"/>
          </w:tcPr>
          <w:p>
            <w:r>
              <w:t>Force Majeure</w:t>
            </w:r>
          </w:p>
        </w:tc>
        <w:tc>
          <w:tcPr>
            <w:tcW w:type="dxa" w:w="1440"/>
          </w:tcPr>
          <w:p>
            <w:r>
              <w:t>Applies to subcontractors</w:t>
            </w:r>
          </w:p>
        </w:tc>
        <w:tc>
          <w:tcPr>
            <w:tcW w:type="dxa" w:w="1440"/>
          </w:tcPr>
          <w:p>
            <w:r>
              <w:t>Amber</w:t>
            </w:r>
          </w:p>
        </w:tc>
        <w:tc>
          <w:tcPr>
            <w:tcW w:type="dxa" w:w="1440"/>
          </w:tcPr>
          <w:p>
            <w:r>
              <w:t>Force majeure limitations</w:t>
            </w:r>
          </w:p>
        </w:tc>
        <w:tc>
          <w:tcPr>
            <w:tcW w:type="dxa" w:w="1440"/>
          </w:tcPr>
          <w:p>
            <w:r>
              <w:t>Relief is restricted to named Tier-1 sub-suppliers and approved carriers. Failure of unnamed subcontractors does not qualify as Force Majeure, creating operational and legal exposure if the Supplier cannot perform due to an unforeseen event affecting an excluded vendor.</w:t>
            </w:r>
          </w:p>
        </w:tc>
        <w:tc>
          <w:tcPr>
            <w:tcW w:type="dxa" w:w="1440"/>
          </w:tcPr>
          <w:p>
            <w:r>
              <w:t>Extend Force Majeure relief to all subcontractors regardless of Tier or naming status in Annex D.</w:t>
            </w:r>
          </w:p>
        </w:tc>
      </w:tr>
      <w:tr>
        <w:tc>
          <w:tcPr>
            <w:tcW w:type="dxa" w:w="1440"/>
          </w:tcPr>
          <w:p>
            <w:r>
              <w:t>Force Majeure</w:t>
            </w:r>
          </w:p>
        </w:tc>
        <w:tc>
          <w:tcPr>
            <w:tcW w:type="dxa" w:w="1440"/>
          </w:tcPr>
          <w:p>
            <w:r>
              <w:t>Notice obligations defined</w:t>
            </w:r>
          </w:p>
        </w:tc>
        <w:tc>
          <w:tcPr>
            <w:tcW w:type="dxa" w:w="1440"/>
          </w:tcPr>
          <w:p>
            <w:r>
              <w:t>Amber</w:t>
            </w:r>
          </w:p>
        </w:tc>
        <w:tc>
          <w:tcPr>
            <w:tcW w:type="dxa" w:w="1440"/>
          </w:tcPr>
          <w:p>
            <w:r>
              <w:t>Force majeure limitations</w:t>
            </w:r>
          </w:p>
        </w:tc>
        <w:tc>
          <w:tcPr>
            <w:tcW w:type="dxa" w:w="1440"/>
          </w:tcPr>
          <w:p>
            <w:r>
              <w:t>Relief for supply chain events is restricted to specific Tier-1 sub-suppliers in Annex D and approved logistics carriers. This creates operational and legal exposure because the Supplier cannot claim Force Majeure for events affecting unnamed sub-contractors or alternate vendors, potentially leading to breach of contract disputes despite legitimate external disruptions.</w:t>
            </w:r>
          </w:p>
        </w:tc>
        <w:tc>
          <w:tcPr>
            <w:tcW w:type="dxa" w:w="1440"/>
          </w:tcPr>
          <w:p>
            <w:r>
              <w:t>Expand Force Majeure relief to include all critical sub-suppliers and logistics providers regardless of their listing in Annex D.</w:t>
            </w:r>
          </w:p>
        </w:tc>
      </w:tr>
      <w:tr>
        <w:tc>
          <w:tcPr>
            <w:tcW w:type="dxa" w:w="1440"/>
          </w:tcPr>
          <w:p>
            <w:r>
              <w:t>Termination</w:t>
            </w:r>
          </w:p>
        </w:tc>
        <w:tc>
          <w:tcPr>
            <w:tcW w:type="dxa" w:w="1440"/>
          </w:tcPr>
          <w:p>
            <w:r>
              <w:t>Termination rights defined</w:t>
            </w:r>
          </w:p>
        </w:tc>
        <w:tc>
          <w:tcPr>
            <w:tcW w:type="dxa" w:w="1440"/>
          </w:tcPr>
          <w:p>
            <w:r>
              <w:t>Green</w:t>
            </w:r>
          </w:p>
        </w:tc>
        <w:tc>
          <w:tcPr>
            <w:tcW w:type="dxa" w:w="1440"/>
          </w:tcPr>
          <w:p>
            <w:r>
              <w:t>Financial exposure from tiered convenience termination fees</w:t>
            </w:r>
          </w:p>
        </w:tc>
        <w:tc>
          <w:tcPr>
            <w:tcW w:type="dxa" w:w="1440"/>
          </w:tcPr>
          <w:p>
            <w:r>
              <w:t>The clause imposes a sliding scale of cancellation fees reaching up to 100 percent of the undelivered balance. This creates significant financial liability for the Buyer upon exercising convenience termination rights, as costs escalate based on the duration since acknowledgement.</w:t>
            </w:r>
          </w:p>
        </w:tc>
        <w:tc>
          <w:tcPr>
            <w:tcW w:type="dxa" w:w="1440"/>
          </w:tcPr>
          <w:p>
            <w:r>
              <w:t>Replace tiered percentage fees with a flat fee or limit total convenience termination liability to actual documented costs incurred by the Supplier.</w:t>
            </w:r>
          </w:p>
        </w:tc>
      </w:tr>
      <w:tr>
        <w:tc>
          <w:tcPr>
            <w:tcW w:type="dxa" w:w="1440"/>
          </w:tcPr>
          <w:p>
            <w:r>
              <w:t>Termination</w:t>
            </w:r>
          </w:p>
        </w:tc>
        <w:tc>
          <w:tcPr>
            <w:tcW w:type="dxa" w:w="1440"/>
          </w:tcPr>
          <w:p>
            <w:r>
              <w:t>Cancellation fee structure defined</w:t>
            </w:r>
          </w:p>
        </w:tc>
        <w:tc>
          <w:tcPr>
            <w:tcW w:type="dxa" w:w="1440"/>
          </w:tcPr>
          <w:p>
            <w:r>
              <w:t>Green</w:t>
            </w:r>
          </w:p>
        </w:tc>
        <w:tc>
          <w:tcPr>
            <w:tcW w:type="dxa" w:w="1440"/>
          </w:tcPr>
          <w:p>
            <w:r>
              <w:t>High financial termination exposure</w:t>
            </w:r>
          </w:p>
        </w:tc>
        <w:tc>
          <w:tcPr>
            <w:tcW w:type="dxa" w:w="1440"/>
          </w:tcPr>
          <w:p>
            <w:r>
              <w:t>The escalating fee structure creates significant financial liability for convenience cancellations, reaching 100 percent of the undelivered balance after 181 days. This represents a substantial cash-flow risk and financial exposure if project requirements change or the order is no longer needed.</w:t>
            </w:r>
          </w:p>
        </w:tc>
        <w:tc>
          <w:tcPr>
            <w:tcW w:type="dxa" w:w="1440"/>
          </w:tcPr>
          <w:p>
            <w:r>
              <w:t>Reduce percentage fees across the schedule and cap total convenience cancellation liability at a maximum percentage of the total order value.</w:t>
            </w:r>
          </w:p>
        </w:tc>
      </w:tr>
      <w:tr>
        <w:tc>
          <w:tcPr>
            <w:tcW w:type="dxa" w:w="1440"/>
          </w:tcPr>
          <w:p>
            <w:r>
              <w:t>Termination</w:t>
            </w:r>
          </w:p>
        </w:tc>
        <w:tc>
          <w:tcPr>
            <w:tcW w:type="dxa" w:w="1440"/>
          </w:tcPr>
          <w:p>
            <w:r>
              <w:t>61-90 day cancellation fee 40%</w:t>
            </w:r>
          </w:p>
        </w:tc>
        <w:tc>
          <w:tcPr>
            <w:tcW w:type="dxa" w:w="1440"/>
          </w:tcPr>
          <w:p>
            <w:r>
              <w:t>Red</w:t>
            </w:r>
          </w:p>
        </w:tc>
        <w:tc>
          <w:tcPr>
            <w:tcW w:type="dxa" w:w="1440"/>
          </w:tcPr>
          <w:p>
            <w:r>
              <w:t>Financial exposure due to insufficient cancellation fee</w:t>
            </w:r>
          </w:p>
        </w:tc>
        <w:tc>
          <w:tcPr>
            <w:tcW w:type="dxa" w:w="1440"/>
          </w:tcPr>
          <w:p>
            <w:r>
              <w:t>The contract provides a 38 percent fee for cancellations between 61-90 days, failing to meet the required 40 percent. This creates a financial shortfall in recovering costs associated with early termination during this specific window.</w:t>
            </w:r>
          </w:p>
        </w:tc>
        <w:tc>
          <w:tcPr>
            <w:tcW w:type="dxa" w:w="1440"/>
          </w:tcPr>
          <w:p>
            <w:r>
              <w:t>Increase the convenience cancellation fee for the 61-90 days window to 40 percent of the order value.</w:t>
            </w:r>
          </w:p>
        </w:tc>
      </w:tr>
      <w:tr>
        <w:tc>
          <w:tcPr>
            <w:tcW w:type="dxa" w:w="1440"/>
          </w:tcPr>
          <w:p>
            <w:r>
              <w:t>Suspension</w:t>
            </w:r>
          </w:p>
        </w:tc>
        <w:tc>
          <w:tcPr>
            <w:tcW w:type="dxa" w:w="1440"/>
          </w:tcPr>
          <w:p>
            <w:r>
              <w:t>Maximum 2 suspensions and 30 days aggregate</w:t>
            </w:r>
          </w:p>
        </w:tc>
        <w:tc>
          <w:tcPr>
            <w:tcW w:type="dxa" w:w="1440"/>
          </w:tcPr>
          <w:p>
            <w:r>
              <w:t>Amber</w:t>
            </w:r>
          </w:p>
        </w:tc>
        <w:tc>
          <w:tcPr>
            <w:tcW w:type="dxa" w:w="1440"/>
          </w:tcPr>
          <w:p>
            <w:r>
              <w:t>Financial and operational suspension exposure</w:t>
            </w:r>
          </w:p>
        </w:tc>
        <w:tc>
          <w:tcPr>
            <w:tcW w:type="dxa" w:w="1440"/>
          </w:tcPr>
          <w:p>
            <w:r>
              <w:t>The clause excludes regulatory, government, legal, and safety stoppages from the suspension limits. This allows the Buyer to suspend work indefinitely for these reasons without triggering compensable change orders or the cost recoveries defined in Article 00511.10.2, leading to unrecovered mobilization and storage costs.</w:t>
            </w:r>
          </w:p>
        </w:tc>
        <w:tc>
          <w:tcPr>
            <w:tcW w:type="dxa" w:w="1440"/>
          </w:tcPr>
          <w:p>
            <w:r>
              <w:t>Remove exclusions for regulatory, government, legal, and safety stoppages so all suspension types count toward the two suspension and 30 day aggregate limit.</w:t>
            </w:r>
          </w:p>
        </w:tc>
      </w:tr>
      <w:tr>
        <w:tc>
          <w:tcPr>
            <w:tcW w:type="dxa" w:w="1440"/>
          </w:tcPr>
          <w:p>
            <w:r>
              <w:t>Suspension</w:t>
            </w:r>
          </w:p>
        </w:tc>
        <w:tc>
          <w:tcPr>
            <w:tcW w:type="dxa" w:w="1440"/>
          </w:tcPr>
          <w:p>
            <w:r>
              <w:t>Supplier obligations during suspension defined</w:t>
            </w:r>
          </w:p>
        </w:tc>
        <w:tc>
          <w:tcPr>
            <w:tcW w:type="dxa" w:w="1440"/>
          </w:tcPr>
          <w:p>
            <w:r>
              <w:t>Green</w:t>
            </w:r>
          </w:p>
        </w:tc>
        <w:tc>
          <w:tcPr>
            <w:tcW w:type="dxa" w:w="1440"/>
          </w:tcPr>
          <w:p>
            <w:r>
              <w:t>Financial and operational suspension risks</w:t>
            </w:r>
          </w:p>
        </w:tc>
        <w:tc>
          <w:tcPr>
            <w:tcW w:type="dxa" w:w="1440"/>
          </w:tcPr>
          <w:p>
            <w:r>
              <w:t>The clause allows Buyer to suspend work for convenience, creating operational instability. While limits exist, exclusions for regulatory, government, and safety stoppages allow for potentially unlimited suspensions without triggering compensable change orders, leading to unrecovered costs and schedule delays.</w:t>
            </w:r>
          </w:p>
        </w:tc>
        <w:tc>
          <w:tcPr>
            <w:tcW w:type="dxa" w:w="1440"/>
          </w:tcPr>
          <w:p>
            <w:r>
              <w:t>Include regulatory, government, and safety stoppages within the aggregate suspension duration limit to ensure all prolonged delays are compensable.</w:t>
            </w:r>
          </w:p>
        </w:tc>
      </w:tr>
      <w:tr>
        <w:tc>
          <w:tcPr>
            <w:tcW w:type="dxa" w:w="1440"/>
          </w:tcPr>
          <w:p>
            <w:r>
              <w:t>Governing Law</w:t>
            </w:r>
          </w:p>
        </w:tc>
        <w:tc>
          <w:tcPr>
            <w:tcW w:type="dxa" w:w="1440"/>
          </w:tcPr>
          <w:p>
            <w:r>
              <w:t>Applicable law specified</w:t>
            </w:r>
          </w:p>
        </w:tc>
        <w:tc>
          <w:tcPr>
            <w:tcW w:type="dxa" w:w="1440"/>
          </w:tcPr>
          <w:p>
            <w:r>
              <w:t>Amber</w:t>
            </w:r>
          </w:p>
        </w:tc>
        <w:tc>
          <w:tcPr>
            <w:tcW w:type="dxa" w:w="1440"/>
          </w:tcPr>
          <w:p>
            <w:r>
              <w:t>Legal exposure due to fragmented dispute resolution venues</w:t>
            </w:r>
          </w:p>
        </w:tc>
        <w:tc>
          <w:tcPr>
            <w:tcW w:type="dxa" w:w="1440"/>
          </w:tcPr>
          <w:p>
            <w:r>
              <w:t>The clause splits jurisdiction between Indian law, Singapore arbitration for specific disputes, and Mumbai courts for interim proceedings. This fragmentation creates legal exposure and potential conflicting rulings across multiple forums, increasing the cost and complexity of enforcing contractual rights.</w:t>
            </w:r>
          </w:p>
        </w:tc>
        <w:tc>
          <w:tcPr>
            <w:tcW w:type="dxa" w:w="1440"/>
          </w:tcPr>
          <w:p>
            <w:r>
              <w:t>Consolidate governing law, jurisdiction, and arbitration in a single venue to eliminate carve-outs and forum fragmentation.</w:t>
            </w:r>
          </w:p>
        </w:tc>
      </w:tr>
      <w:tr>
        <w:tc>
          <w:tcPr>
            <w:tcW w:type="dxa" w:w="1440"/>
          </w:tcPr>
          <w:p>
            <w:r>
              <w:t>Dispute Resolution</w:t>
            </w:r>
          </w:p>
        </w:tc>
        <w:tc>
          <w:tcPr>
            <w:tcW w:type="dxa" w:w="1440"/>
          </w:tcPr>
          <w:p>
            <w:r>
              <w:t>Arbitration mechanism defined</w:t>
            </w:r>
          </w:p>
        </w:tc>
        <w:tc>
          <w:tcPr>
            <w:tcW w:type="dxa" w:w="1440"/>
          </w:tcPr>
          <w:p>
            <w:r>
              <w:t>Green</w:t>
            </w:r>
          </w:p>
        </w:tc>
        <w:tc>
          <w:tcPr>
            <w:tcW w:type="dxa" w:w="1440"/>
          </w:tcPr>
          <w:p>
            <w:r>
              <w:t>Arbitration limitations and legal exposure</w:t>
            </w:r>
          </w:p>
        </w:tc>
        <w:tc>
          <w:tcPr>
            <w:tcW w:type="dxa" w:w="1440"/>
          </w:tcPr>
          <w:p>
            <w:r>
              <w:t>The clause imposes a mandatory tiered dispute process for laboratory test methodology. This creates a dependency on a technical expert in Mumbai before Singapore arbitration can be initiated, delaying final legal resolution and introducing a procedural hurdle for technical disputes.</w:t>
            </w:r>
          </w:p>
        </w:tc>
        <w:tc>
          <w:tcPr>
            <w:tcW w:type="dxa" w:w="1440"/>
          </w:tcPr>
          <w:p>
            <w:r>
              <w:t>Remove the mandatory technical expert referral and allow all disputes to proceed directly to Singapore arbitration.</w:t>
            </w:r>
          </w:p>
        </w:tc>
      </w:tr>
      <w:tr>
        <w:tc>
          <w:tcPr>
            <w:tcW w:type="dxa" w:w="1440"/>
          </w:tcPr>
          <w:p>
            <w:r>
              <w:t>Dispute Resolution</w:t>
            </w:r>
          </w:p>
        </w:tc>
        <w:tc>
          <w:tcPr>
            <w:tcW w:type="dxa" w:w="1440"/>
          </w:tcPr>
          <w:p>
            <w:r>
              <w:t>Seat of arbitration specified</w:t>
            </w:r>
          </w:p>
        </w:tc>
        <w:tc>
          <w:tcPr>
            <w:tcW w:type="dxa" w:w="1440"/>
          </w:tcPr>
          <w:p>
            <w:r>
              <w:t>Green</w:t>
            </w:r>
          </w:p>
        </w:tc>
        <w:tc>
          <w:tcPr>
            <w:tcW w:type="dxa" w:w="1440"/>
          </w:tcPr>
          <w:p>
            <w:r>
              <w:t>arbitration limitations</w:t>
            </w:r>
          </w:p>
        </w:tc>
        <w:tc>
          <w:tcPr>
            <w:tcW w:type="dxa" w:w="1440"/>
          </w:tcPr>
          <w:p>
            <w:r>
              <w:t>The clause imposes a conditional multi-tier dispute process where technical disputes must first be referred to an expert in Mumbai. This creates a dependency and a procedural carve-out, delaying access to Singapore arbitration and potentially splitting the forum for different aspects of the same dispute.</w:t>
            </w:r>
          </w:p>
        </w:tc>
        <w:tc>
          <w:tcPr>
            <w:tcW w:type="dxa" w:w="1440"/>
          </w:tcPr>
          <w:p>
            <w:r>
              <w:t>Remove the requirement for preliminary technical expert determination in Mumbai and grant direct access to Singapore arbitration for all disputes.</w:t>
            </w:r>
          </w:p>
        </w:tc>
      </w:tr>
      <w:tr>
        <w:tc>
          <w:tcPr>
            <w:tcW w:type="dxa" w:w="1440"/>
          </w:tcPr>
          <w:p>
            <w:r>
              <w:t>Liability</w:t>
            </w:r>
          </w:p>
        </w:tc>
        <w:tc>
          <w:tcPr>
            <w:tcW w:type="dxa" w:w="1440"/>
          </w:tcPr>
          <w:p>
            <w:r>
              <w:t>Liability carve-outs defined</w:t>
            </w:r>
          </w:p>
        </w:tc>
        <w:tc>
          <w:tcPr>
            <w:tcW w:type="dxa" w:w="1440"/>
          </w:tcPr>
          <w:p>
            <w:r>
              <w:t>Amber</w:t>
            </w:r>
          </w:p>
        </w:tc>
        <w:tc>
          <w:tcPr>
            <w:tcW w:type="dxa" w:w="1440"/>
          </w:tcPr>
          <w:p>
            <w:r>
              <w:t>Liability exposure</w:t>
            </w:r>
          </w:p>
        </w:tc>
        <w:tc>
          <w:tcPr>
            <w:tcW w:type="dxa" w:w="1440"/>
          </w:tcPr>
          <w:p>
            <w:r>
              <w:t>The defect liability cap is limited to 10% of PO value, but carve-outs for emergency removal and site stabilization during safety shutdowns create uncapped financial exposure for specific direct costs. This results in unpredictable cost recovery beyond the primary liability limit.</w:t>
            </w:r>
          </w:p>
        </w:tc>
        <w:tc>
          <w:tcPr>
            <w:tcW w:type="dxa" w:w="1440"/>
          </w:tcPr>
          <w:p>
            <w:r>
              <w:t>Eliminate carve-outs for emergency costs and apply a consistent aggregate liability cap to all defect-related damages.</w:t>
            </w:r>
          </w:p>
        </w:tc>
      </w:tr>
      <w:tr>
        <w:tc>
          <w:tcPr>
            <w:tcW w:type="dxa" w:w="1440"/>
          </w:tcPr>
          <w:p>
            <w:r>
              <w:t>Consequential Damages</w:t>
            </w:r>
          </w:p>
        </w:tc>
        <w:tc>
          <w:tcPr>
            <w:tcW w:type="dxa" w:w="1440"/>
          </w:tcPr>
          <w:p>
            <w:r>
              <w:t>Consequential damages excluded</w:t>
            </w:r>
          </w:p>
        </w:tc>
        <w:tc>
          <w:tcPr>
            <w:tcW w:type="dxa" w:w="1440"/>
          </w:tcPr>
          <w:p>
            <w:r>
              <w:t>Amber</w:t>
            </w:r>
          </w:p>
        </w:tc>
        <w:tc>
          <w:tcPr>
            <w:tcW w:type="dxa" w:w="1440"/>
          </w:tcPr>
          <w:p>
            <w:r>
              <w:t>Uncapped liability exposure for specific carve-outs</w:t>
            </w:r>
          </w:p>
        </w:tc>
        <w:tc>
          <w:tcPr>
            <w:tcW w:type="dxa" w:w="1440"/>
          </w:tcPr>
          <w:p>
            <w:r>
              <w:t>Article 00511.15.2 creates multiple exceptions to the consequential damages waiver, including confidentiality breaches, indemnity, IP infringement, fraud, and gross negligence. This exposes the organization to indirect and consequential financial losses for these events, contradicting the requirement for a full exclusion of such damages.</w:t>
            </w:r>
          </w:p>
        </w:tc>
        <w:tc>
          <w:tcPr>
            <w:tcW w:type="dxa" w:w="1440"/>
          </w:tcPr>
          <w:p>
            <w:r>
              <w:t>Remove all exceptions to the consequential damages waiver in Article 00511.15.2 to ensure a comprehensive exclusion for all parties.</w:t>
            </w:r>
          </w:p>
        </w:tc>
      </w:tr>
      <w:tr>
        <w:tc>
          <w:tcPr>
            <w:tcW w:type="dxa" w:w="1440"/>
          </w:tcPr>
          <w:p>
            <w:r>
              <w:t>Consequential Damages</w:t>
            </w:r>
          </w:p>
        </w:tc>
        <w:tc>
          <w:tcPr>
            <w:tcW w:type="dxa" w:w="1440"/>
          </w:tcPr>
          <w:p>
            <w:r>
              <w:t>Exceptions to exclusion defined</w:t>
            </w:r>
          </w:p>
        </w:tc>
        <w:tc>
          <w:tcPr>
            <w:tcW w:type="dxa" w:w="1440"/>
          </w:tcPr>
          <w:p>
            <w:r>
              <w:t>Amber</w:t>
            </w:r>
          </w:p>
        </w:tc>
        <w:tc>
          <w:tcPr>
            <w:tcW w:type="dxa" w:w="1440"/>
          </w:tcPr>
          <w:p>
            <w:r>
              <w:t>Increased liability exposure</w:t>
            </w:r>
          </w:p>
        </w:tc>
        <w:tc>
          <w:tcPr>
            <w:tcW w:type="dxa" w:w="1440"/>
          </w:tcPr>
          <w:p>
            <w:r>
              <w:t>The waiver of consequential damages contains broad exceptions for confidentiality, indemnity, intellectual property, fraud, gross negligence, willful misconduct, and specific liquidated damages. This creates financial and legal exposure by allowing the recovery of indirect and consequential losses for these specified events, bypassing the general liability exclusion.</w:t>
            </w:r>
          </w:p>
        </w:tc>
        <w:tc>
          <w:tcPr>
            <w:tcW w:type="dxa" w:w="1440"/>
          </w:tcPr>
          <w:p>
            <w:r>
              <w:t>Narrow the exceptions to the consequential damages waiver to limit exposure to only willful misconduct and fraud.</w:t>
            </w:r>
          </w:p>
        </w:tc>
      </w:tr>
    </w:tbl>
    <w:p>
      <w:r>
        <w:br w:type="page"/>
      </w:r>
    </w:p>
    <w:p>
      <w:pPr>
        <w:pStyle w:val="Heading2"/>
      </w:pPr>
      <w:r>
        <w:t>Table 3 - Mitigation Checklist</w:t>
      </w:r>
    </w:p>
    <w:tbl>
      <w:tblPr>
        <w:tblStyle w:val="TableGrid"/>
        <w:tblW w:type="auto" w:w="0"/>
        <w:tblLook w:firstColumn="1" w:firstRow="1" w:lastColumn="0" w:lastRow="0" w:noHBand="0" w:noVBand="1" w:val="04A0"/>
      </w:tblPr>
      <w:tblGrid>
        <w:gridCol w:w="2880"/>
        <w:gridCol w:w="2880"/>
        <w:gridCol w:w="2880"/>
      </w:tblGrid>
      <w:tr>
        <w:tc>
          <w:tcPr>
            <w:tcW w:type="dxa" w:w="2880"/>
          </w:tcPr>
          <w:p>
            <w:r>
              <w:t>Clause</w:t>
            </w:r>
          </w:p>
        </w:tc>
        <w:tc>
          <w:tcPr>
            <w:tcW w:type="dxa" w:w="2880"/>
          </w:tcPr>
          <w:p>
            <w:r>
              <w:t>Risk</w:t>
            </w:r>
          </w:p>
        </w:tc>
        <w:tc>
          <w:tcPr>
            <w:tcW w:type="dxa" w:w="2880"/>
          </w:tcPr>
          <w:p>
            <w:r>
              <w:t>Mitigation Recommendation</w:t>
            </w:r>
          </w:p>
        </w:tc>
      </w:tr>
      <w:tr>
        <w:tc>
          <w:tcPr>
            <w:tcW w:type="dxa" w:w="2880"/>
          </w:tcPr>
          <w:p>
            <w:r>
              <w:t>Payment Terms</w:t>
            </w:r>
          </w:p>
        </w:tc>
        <w:tc>
          <w:tcPr>
            <w:tcW w:type="dxa" w:w="2880"/>
          </w:tcPr>
          <w:p>
            <w:r>
              <w:t>45% Minimum Advance</w:t>
            </w:r>
          </w:p>
        </w:tc>
        <w:tc>
          <w:tcPr>
            <w:tcW w:type="dxa" w:w="2880"/>
          </w:tcPr>
          <w:p>
            <w:r>
              <w:t>Remove conditional dependencies for the second advance tranche and ensure the full 45% is payable upon PO acknowledgement and furnishing of Annex B documents.</w:t>
            </w:r>
          </w:p>
        </w:tc>
      </w:tr>
      <w:tr>
        <w:tc>
          <w:tcPr>
            <w:tcW w:type="dxa" w:w="2880"/>
          </w:tcPr>
          <w:p>
            <w:r>
              <w:t>Payment Terms</w:t>
            </w:r>
          </w:p>
        </w:tc>
        <w:tc>
          <w:tcPr>
            <w:tcW w:type="dxa" w:w="2880"/>
          </w:tcPr>
          <w:p>
            <w:r>
              <w:t>All payments Net 30 days from invoice</w:t>
            </w:r>
          </w:p>
        </w:tc>
        <w:tc>
          <w:tcPr>
            <w:tcW w:type="dxa" w:w="2880"/>
          </w:tcPr>
          <w:p>
            <w:r>
              <w:t>Set payment terms as Net 30 days from invoice receipt regardless of internal acceptance records.</w:t>
            </w:r>
          </w:p>
        </w:tc>
      </w:tr>
      <w:tr>
        <w:tc>
          <w:tcPr>
            <w:tcW w:type="dxa" w:w="2880"/>
          </w:tcPr>
          <w:p>
            <w:r>
              <w:t>Bank Guarantees</w:t>
            </w:r>
          </w:p>
        </w:tc>
        <w:tc>
          <w:tcPr>
            <w:tcW w:type="dxa" w:w="2880"/>
          </w:tcPr>
          <w:p>
            <w:r>
              <w:t>Performance Guarantee not exceeding 10%</w:t>
            </w:r>
          </w:p>
        </w:tc>
        <w:tc>
          <w:tcPr>
            <w:tcW w:type="dxa" w:w="2880"/>
          </w:tcPr>
          <w:p>
            <w:r>
              <w:t>Limit total performance security to a maximum of 10 percent including bridge guarantees.</w:t>
            </w:r>
          </w:p>
        </w:tc>
      </w:tr>
      <w:tr>
        <w:tc>
          <w:tcPr>
            <w:tcW w:type="dxa" w:w="2880"/>
          </w:tcPr>
          <w:p>
            <w:r>
              <w:t>Liquidated Damages</w:t>
            </w:r>
          </w:p>
        </w:tc>
        <w:tc>
          <w:tcPr>
            <w:tcW w:type="dxa" w:w="2880"/>
          </w:tcPr>
          <w:p>
            <w:r>
              <w:t>Documentation LD not applicable</w:t>
            </w:r>
          </w:p>
        </w:tc>
        <w:tc>
          <w:tcPr>
            <w:tcW w:type="dxa" w:w="2880"/>
          </w:tcPr>
          <w:p>
            <w:r>
              <w:t>Remove the exception for routine manuals and non-critical engineering submittals to ensure all documentation delays attract liquidated damages.</w:t>
            </w:r>
          </w:p>
        </w:tc>
      </w:tr>
      <w:tr>
        <w:tc>
          <w:tcPr>
            <w:tcW w:type="dxa" w:w="2880"/>
          </w:tcPr>
          <w:p>
            <w:r>
              <w:t>Liquidated Damages</w:t>
            </w:r>
          </w:p>
        </w:tc>
        <w:tc>
          <w:tcPr>
            <w:tcW w:type="dxa" w:w="2880"/>
          </w:tcPr>
          <w:p>
            <w:r>
              <w:t>Equipment Delivery LD 0.5% per week</w:t>
            </w:r>
          </w:p>
        </w:tc>
        <w:tc>
          <w:tcPr>
            <w:tcW w:type="dxa" w:w="2880"/>
          </w:tcPr>
          <w:p>
            <w:r>
              <w:t>Remove the 5% cap on individual undelivered parts and increase the aggregate delay exposure cap.</w:t>
            </w:r>
          </w:p>
        </w:tc>
      </w:tr>
      <w:tr>
        <w:tc>
          <w:tcPr>
            <w:tcW w:type="dxa" w:w="2880"/>
          </w:tcPr>
          <w:p>
            <w:r>
              <w:t>Liquidated Damages</w:t>
            </w:r>
          </w:p>
        </w:tc>
        <w:tc>
          <w:tcPr>
            <w:tcW w:type="dxa" w:w="2880"/>
          </w:tcPr>
          <w:p>
            <w:r>
              <w:t>Equipment Delivery LD capped at 5%</w:t>
            </w:r>
          </w:p>
        </w:tc>
        <w:tc>
          <w:tcPr>
            <w:tcW w:type="dxa" w:w="2880"/>
          </w:tcPr>
          <w:p>
            <w:r>
              <w:t>Reduce the aggregate delay exposure cap to a maximum of 5 percent of the total Purchase Order value.</w:t>
            </w:r>
          </w:p>
        </w:tc>
      </w:tr>
      <w:tr>
        <w:tc>
          <w:tcPr>
            <w:tcW w:type="dxa" w:w="2880"/>
          </w:tcPr>
          <w:p>
            <w:r>
              <w:t>Liquidated Damages</w:t>
            </w:r>
          </w:p>
        </w:tc>
        <w:tc>
          <w:tcPr>
            <w:tcW w:type="dxa" w:w="2880"/>
          </w:tcPr>
          <w:p>
            <w:r>
              <w:t>Aggregate LD capped at 5% PO value</w:t>
            </w:r>
          </w:p>
        </w:tc>
        <w:tc>
          <w:tcPr>
            <w:tcW w:type="dxa" w:w="2880"/>
          </w:tcPr>
          <w:p>
            <w:r>
              <w:t>Reduce aggregate LD and service-credit exposure to a maximum of 5 percent of total PO value.</w:t>
            </w:r>
          </w:p>
        </w:tc>
      </w:tr>
      <w:tr>
        <w:tc>
          <w:tcPr>
            <w:tcW w:type="dxa" w:w="2880"/>
          </w:tcPr>
          <w:p>
            <w:r>
              <w:t>Liquidated Damages</w:t>
            </w:r>
          </w:p>
        </w:tc>
        <w:tc>
          <w:tcPr>
            <w:tcW w:type="dxa" w:w="2880"/>
          </w:tcPr>
          <w:p>
            <w:r>
              <w:t>Remedial Work LD not applicable</w:t>
            </w:r>
          </w:p>
        </w:tc>
        <w:tc>
          <w:tcPr>
            <w:tcW w:type="dxa" w:w="2880"/>
          </w:tcPr>
          <w:p>
            <w:r>
              <w:t>Remove the exclusion of liquidated damages for remedial work and apply monetary penalties for delays in warranty repairs and replacements.</w:t>
            </w:r>
          </w:p>
        </w:tc>
      </w:tr>
      <w:tr>
        <w:tc>
          <w:tcPr>
            <w:tcW w:type="dxa" w:w="2880"/>
          </w:tcPr>
          <w:p>
            <w:r>
              <w:t>Guarantee</w:t>
            </w:r>
          </w:p>
        </w:tc>
        <w:tc>
          <w:tcPr>
            <w:tcW w:type="dxa" w:w="2880"/>
          </w:tcPr>
          <w:p>
            <w:r>
              <w:t>Warranty period defined</w:t>
            </w:r>
          </w:p>
        </w:tc>
        <w:tc>
          <w:tcPr>
            <w:tcW w:type="dxa" w:w="2880"/>
          </w:tcPr>
          <w:p>
            <w:r>
              <w:t>Extend standard guarantee to twelve months post-commissioning and ensure remedial guarantees run for twelve months from repair without being capped by original dispatch dates.</w:t>
            </w:r>
          </w:p>
        </w:tc>
      </w:tr>
      <w:tr>
        <w:tc>
          <w:tcPr>
            <w:tcW w:type="dxa" w:w="2880"/>
          </w:tcPr>
          <w:p>
            <w:r>
              <w:t>Guarantee</w:t>
            </w:r>
          </w:p>
        </w:tc>
        <w:tc>
          <w:tcPr>
            <w:tcW w:type="dxa" w:w="2880"/>
          </w:tcPr>
          <w:p>
            <w:r>
              <w:t>2 months from commissioning or 18 months from dispatch</w:t>
            </w:r>
          </w:p>
        </w:tc>
        <w:tc>
          <w:tcPr>
            <w:tcW w:type="dxa" w:w="2880"/>
          </w:tcPr>
          <w:p>
            <w:r>
              <w:t>Ensure remedial guarantees for repaired or replaced components extend for a full 12 months from the date of repair regardless of the original dispatch date.</w:t>
            </w:r>
          </w:p>
        </w:tc>
      </w:tr>
      <w:tr>
        <w:tc>
          <w:tcPr>
            <w:tcW w:type="dxa" w:w="2880"/>
          </w:tcPr>
          <w:p>
            <w:r>
              <w:t>Guarantee</w:t>
            </w:r>
          </w:p>
        </w:tc>
        <w:tc>
          <w:tcPr>
            <w:tcW w:type="dxa" w:w="2880"/>
          </w:tcPr>
          <w:p>
            <w:r>
              <w:t>Repair/replacement warranty obligations defined</w:t>
            </w:r>
          </w:p>
        </w:tc>
        <w:tc>
          <w:tcPr>
            <w:tcW w:type="dxa" w:w="2880"/>
          </w:tcPr>
          <w:p>
            <w:r>
              <w:t>Ensure repaired or replaced components are guaranteed for a full twelve months from the date of repair without limitation based on the original dispatch date.</w:t>
            </w:r>
          </w:p>
        </w:tc>
      </w:tr>
      <w:tr>
        <w:tc>
          <w:tcPr>
            <w:tcW w:type="dxa" w:w="2880"/>
          </w:tcPr>
          <w:p>
            <w:r>
              <w:t>Force Majeure</w:t>
            </w:r>
          </w:p>
        </w:tc>
        <w:tc>
          <w:tcPr>
            <w:tcW w:type="dxa" w:w="2880"/>
          </w:tcPr>
          <w:p>
            <w:r>
              <w:t>Force majeure events defined</w:t>
            </w:r>
          </w:p>
        </w:tc>
        <w:tc>
          <w:tcPr>
            <w:tcW w:type="dxa" w:w="2880"/>
          </w:tcPr>
          <w:p>
            <w:r>
              <w:t>Extend force majeure relief to include all approved sub-suppliers and logistics providers regardless of their Tier-1 status or inclusion in Annex D.</w:t>
            </w:r>
          </w:p>
        </w:tc>
      </w:tr>
      <w:tr>
        <w:tc>
          <w:tcPr>
            <w:tcW w:type="dxa" w:w="2880"/>
          </w:tcPr>
          <w:p>
            <w:r>
              <w:t>Force Majeure</w:t>
            </w:r>
          </w:p>
        </w:tc>
        <w:tc>
          <w:tcPr>
            <w:tcW w:type="dxa" w:w="2880"/>
          </w:tcPr>
          <w:p>
            <w:r>
              <w:t>Applies to subcontractors</w:t>
            </w:r>
          </w:p>
        </w:tc>
        <w:tc>
          <w:tcPr>
            <w:tcW w:type="dxa" w:w="2880"/>
          </w:tcPr>
          <w:p>
            <w:r>
              <w:t>Extend Force Majeure relief to all subcontractors regardless of Tier or naming status in Annex D.</w:t>
            </w:r>
          </w:p>
        </w:tc>
      </w:tr>
      <w:tr>
        <w:tc>
          <w:tcPr>
            <w:tcW w:type="dxa" w:w="2880"/>
          </w:tcPr>
          <w:p>
            <w:r>
              <w:t>Force Majeure</w:t>
            </w:r>
          </w:p>
        </w:tc>
        <w:tc>
          <w:tcPr>
            <w:tcW w:type="dxa" w:w="2880"/>
          </w:tcPr>
          <w:p>
            <w:r>
              <w:t>Notice obligations defined</w:t>
            </w:r>
          </w:p>
        </w:tc>
        <w:tc>
          <w:tcPr>
            <w:tcW w:type="dxa" w:w="2880"/>
          </w:tcPr>
          <w:p>
            <w:r>
              <w:t>Expand Force Majeure relief to include all critical sub-suppliers and logistics providers regardless of their listing in Annex D.</w:t>
            </w:r>
          </w:p>
        </w:tc>
      </w:tr>
      <w:tr>
        <w:tc>
          <w:tcPr>
            <w:tcW w:type="dxa" w:w="2880"/>
          </w:tcPr>
          <w:p>
            <w:r>
              <w:t>Termination</w:t>
            </w:r>
          </w:p>
        </w:tc>
        <w:tc>
          <w:tcPr>
            <w:tcW w:type="dxa" w:w="2880"/>
          </w:tcPr>
          <w:p>
            <w:r>
              <w:t>Termination rights defined</w:t>
            </w:r>
          </w:p>
        </w:tc>
        <w:tc>
          <w:tcPr>
            <w:tcW w:type="dxa" w:w="2880"/>
          </w:tcPr>
          <w:p>
            <w:r>
              <w:t>Replace tiered percentage fees with a flat fee or limit total convenience termination liability to actual documented costs incurred by the Supplier.</w:t>
            </w:r>
          </w:p>
        </w:tc>
      </w:tr>
      <w:tr>
        <w:tc>
          <w:tcPr>
            <w:tcW w:type="dxa" w:w="2880"/>
          </w:tcPr>
          <w:p>
            <w:r>
              <w:t>Termination</w:t>
            </w:r>
          </w:p>
        </w:tc>
        <w:tc>
          <w:tcPr>
            <w:tcW w:type="dxa" w:w="2880"/>
          </w:tcPr>
          <w:p>
            <w:r>
              <w:t>Cancellation fee structure defined</w:t>
            </w:r>
          </w:p>
        </w:tc>
        <w:tc>
          <w:tcPr>
            <w:tcW w:type="dxa" w:w="2880"/>
          </w:tcPr>
          <w:p>
            <w:r>
              <w:t>Reduce percentage fees across the schedule and cap total convenience cancellation liability at a maximum percentage of the total order value.</w:t>
            </w:r>
          </w:p>
        </w:tc>
      </w:tr>
      <w:tr>
        <w:tc>
          <w:tcPr>
            <w:tcW w:type="dxa" w:w="2880"/>
          </w:tcPr>
          <w:p>
            <w:r>
              <w:t>Termination</w:t>
            </w:r>
          </w:p>
        </w:tc>
        <w:tc>
          <w:tcPr>
            <w:tcW w:type="dxa" w:w="2880"/>
          </w:tcPr>
          <w:p>
            <w:r>
              <w:t>61-90 day cancellation fee 40%</w:t>
            </w:r>
          </w:p>
        </w:tc>
        <w:tc>
          <w:tcPr>
            <w:tcW w:type="dxa" w:w="2880"/>
          </w:tcPr>
          <w:p>
            <w:r>
              <w:t>Increase the convenience cancellation fee for the 61-90 days window to 40 percent of the order value.</w:t>
            </w:r>
          </w:p>
        </w:tc>
      </w:tr>
      <w:tr>
        <w:tc>
          <w:tcPr>
            <w:tcW w:type="dxa" w:w="2880"/>
          </w:tcPr>
          <w:p>
            <w:r>
              <w:t>Suspension</w:t>
            </w:r>
          </w:p>
        </w:tc>
        <w:tc>
          <w:tcPr>
            <w:tcW w:type="dxa" w:w="2880"/>
          </w:tcPr>
          <w:p>
            <w:r>
              <w:t>Maximum 2 suspensions and 30 days aggregate</w:t>
            </w:r>
          </w:p>
        </w:tc>
        <w:tc>
          <w:tcPr>
            <w:tcW w:type="dxa" w:w="2880"/>
          </w:tcPr>
          <w:p>
            <w:r>
              <w:t>Remove exclusions for regulatory, government, legal, and safety stoppages so all suspension types count toward the two suspension and 30 day aggregate limit.</w:t>
            </w:r>
          </w:p>
        </w:tc>
      </w:tr>
      <w:tr>
        <w:tc>
          <w:tcPr>
            <w:tcW w:type="dxa" w:w="2880"/>
          </w:tcPr>
          <w:p>
            <w:r>
              <w:t>Suspension</w:t>
            </w:r>
          </w:p>
        </w:tc>
        <w:tc>
          <w:tcPr>
            <w:tcW w:type="dxa" w:w="2880"/>
          </w:tcPr>
          <w:p>
            <w:r>
              <w:t>Supplier obligations during suspension defined</w:t>
            </w:r>
          </w:p>
        </w:tc>
        <w:tc>
          <w:tcPr>
            <w:tcW w:type="dxa" w:w="2880"/>
          </w:tcPr>
          <w:p>
            <w:r>
              <w:t>Include regulatory, government, and safety stoppages within the aggregate suspension duration limit to ensure all prolonged delays are compensable.</w:t>
            </w:r>
          </w:p>
        </w:tc>
      </w:tr>
      <w:tr>
        <w:tc>
          <w:tcPr>
            <w:tcW w:type="dxa" w:w="2880"/>
          </w:tcPr>
          <w:p>
            <w:r>
              <w:t>Governing Law</w:t>
            </w:r>
          </w:p>
        </w:tc>
        <w:tc>
          <w:tcPr>
            <w:tcW w:type="dxa" w:w="2880"/>
          </w:tcPr>
          <w:p>
            <w:r>
              <w:t>Applicable law specified</w:t>
            </w:r>
          </w:p>
        </w:tc>
        <w:tc>
          <w:tcPr>
            <w:tcW w:type="dxa" w:w="2880"/>
          </w:tcPr>
          <w:p>
            <w:r>
              <w:t>Consolidate governing law, jurisdiction, and arbitration in a single venue to eliminate carve-outs and forum fragmentation.</w:t>
            </w:r>
          </w:p>
        </w:tc>
      </w:tr>
      <w:tr>
        <w:tc>
          <w:tcPr>
            <w:tcW w:type="dxa" w:w="2880"/>
          </w:tcPr>
          <w:p>
            <w:r>
              <w:t>Dispute Resolution</w:t>
            </w:r>
          </w:p>
        </w:tc>
        <w:tc>
          <w:tcPr>
            <w:tcW w:type="dxa" w:w="2880"/>
          </w:tcPr>
          <w:p>
            <w:r>
              <w:t>Arbitration mechanism defined</w:t>
            </w:r>
          </w:p>
        </w:tc>
        <w:tc>
          <w:tcPr>
            <w:tcW w:type="dxa" w:w="2880"/>
          </w:tcPr>
          <w:p>
            <w:r>
              <w:t>Remove the mandatory technical expert referral and allow all disputes to proceed directly to Singapore arbitration.</w:t>
            </w:r>
          </w:p>
        </w:tc>
      </w:tr>
      <w:tr>
        <w:tc>
          <w:tcPr>
            <w:tcW w:type="dxa" w:w="2880"/>
          </w:tcPr>
          <w:p>
            <w:r>
              <w:t>Dispute Resolution</w:t>
            </w:r>
          </w:p>
        </w:tc>
        <w:tc>
          <w:tcPr>
            <w:tcW w:type="dxa" w:w="2880"/>
          </w:tcPr>
          <w:p>
            <w:r>
              <w:t>Seat of arbitration specified</w:t>
            </w:r>
          </w:p>
        </w:tc>
        <w:tc>
          <w:tcPr>
            <w:tcW w:type="dxa" w:w="2880"/>
          </w:tcPr>
          <w:p>
            <w:r>
              <w:t>Remove the requirement for preliminary technical expert determination in Mumbai and grant direct access to Singapore arbitration for all disputes.</w:t>
            </w:r>
          </w:p>
        </w:tc>
      </w:tr>
      <w:tr>
        <w:tc>
          <w:tcPr>
            <w:tcW w:type="dxa" w:w="2880"/>
          </w:tcPr>
          <w:p>
            <w:r>
              <w:t>Liability</w:t>
            </w:r>
          </w:p>
        </w:tc>
        <w:tc>
          <w:tcPr>
            <w:tcW w:type="dxa" w:w="2880"/>
          </w:tcPr>
          <w:p>
            <w:r>
              <w:t>Liability carve-outs defined</w:t>
            </w:r>
          </w:p>
        </w:tc>
        <w:tc>
          <w:tcPr>
            <w:tcW w:type="dxa" w:w="2880"/>
          </w:tcPr>
          <w:p>
            <w:r>
              <w:t>Eliminate carve-outs for emergency costs and apply a consistent aggregate liability cap to all defect-related damages.</w:t>
            </w:r>
          </w:p>
        </w:tc>
      </w:tr>
      <w:tr>
        <w:tc>
          <w:tcPr>
            <w:tcW w:type="dxa" w:w="2880"/>
          </w:tcPr>
          <w:p>
            <w:r>
              <w:t>Consequential Damages</w:t>
            </w:r>
          </w:p>
        </w:tc>
        <w:tc>
          <w:tcPr>
            <w:tcW w:type="dxa" w:w="2880"/>
          </w:tcPr>
          <w:p>
            <w:r>
              <w:t>Consequential damages excluded</w:t>
            </w:r>
          </w:p>
        </w:tc>
        <w:tc>
          <w:tcPr>
            <w:tcW w:type="dxa" w:w="2880"/>
          </w:tcPr>
          <w:p>
            <w:r>
              <w:t>Remove all exceptions to the consequential damages waiver in Article 00511.15.2 to ensure a comprehensive exclusion for all parties.</w:t>
            </w:r>
          </w:p>
        </w:tc>
      </w:tr>
      <w:tr>
        <w:tc>
          <w:tcPr>
            <w:tcW w:type="dxa" w:w="2880"/>
          </w:tcPr>
          <w:p>
            <w:r>
              <w:t>Consequential Damages</w:t>
            </w:r>
          </w:p>
        </w:tc>
        <w:tc>
          <w:tcPr>
            <w:tcW w:type="dxa" w:w="2880"/>
          </w:tcPr>
          <w:p>
            <w:r>
              <w:t>Exceptions to exclusion defined</w:t>
            </w:r>
          </w:p>
        </w:tc>
        <w:tc>
          <w:tcPr>
            <w:tcW w:type="dxa" w:w="2880"/>
          </w:tcPr>
          <w:p>
            <w:r>
              <w:t>Narrow the exceptions to the consequential damages waiver to limit exposure to only willful misconduct and fraud.</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