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Enterprise Contract Analysis Report</w:t>
      </w:r>
    </w:p>
    <w:p>
      <w:pPr>
        <w:pStyle w:val="Heading2"/>
      </w:pPr>
      <w:r>
        <w:t>Table 1 - Compliance Analysis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Clause</w:t>
            </w:r>
          </w:p>
        </w:tc>
        <w:tc>
          <w:tcPr>
            <w:tcW w:type="dxa" w:w="1234"/>
          </w:tcPr>
          <w:p>
            <w:r>
              <w:t>Requirement</w:t>
            </w:r>
          </w:p>
        </w:tc>
        <w:tc>
          <w:tcPr>
            <w:tcW w:type="dxa" w:w="1234"/>
          </w:tcPr>
          <w:p>
            <w:r>
              <w:t>Summary of Key Details</w:t>
            </w:r>
          </w:p>
        </w:tc>
        <w:tc>
          <w:tcPr>
            <w:tcW w:type="dxa" w:w="1234"/>
          </w:tcPr>
          <w:p>
            <w:r>
              <w:t>Status</w:t>
            </w:r>
          </w:p>
        </w:tc>
        <w:tc>
          <w:tcPr>
            <w:tcW w:type="dxa" w:w="1234"/>
          </w:tcPr>
          <w:p>
            <w:r>
              <w:t>Evidence</w:t>
            </w:r>
          </w:p>
        </w:tc>
        <w:tc>
          <w:tcPr>
            <w:tcW w:type="dxa" w:w="1234"/>
          </w:tcPr>
          <w:p>
            <w:r>
              <w:t>Assessor Remarks</w:t>
            </w:r>
          </w:p>
        </w:tc>
        <w:tc>
          <w:tcPr>
            <w:tcW w:type="dxa" w:w="1234"/>
          </w:tcPr>
          <w:p>
            <w:r>
              <w:t>Historical Action Taken</w:t>
            </w:r>
          </w:p>
        </w:tc>
      </w:tr>
      <w:tr>
        <w:tc>
          <w:tcPr>
            <w:tcW w:type="dxa" w:w="1234"/>
          </w:tcPr>
          <w:p>
            <w:r>
              <w:t>Payment Terms</w:t>
            </w:r>
          </w:p>
        </w:tc>
        <w:tc>
          <w:tcPr>
            <w:tcW w:type="dxa" w:w="1234"/>
          </w:tcPr>
          <w:p>
            <w:r>
              <w:t>45% Minimum Advance</w:t>
            </w:r>
          </w:p>
        </w:tc>
        <w:tc>
          <w:tcPr>
            <w:tcW w:type="dxa" w:w="1234"/>
          </w:tcPr>
          <w:p>
            <w:r>
              <w:t>Provisions regarding '45% Minimum Advance': This retention clause is not intended to reduce the agreed advance percentage but can affect payment timing.</w:t>
            </w:r>
          </w:p>
        </w:tc>
        <w:tc>
          <w:tcPr>
            <w:tcW w:type="dxa" w:w="1234"/>
          </w:tcPr>
          <w:p>
            <w:r>
              <w:t>Partially Met</w:t>
            </w:r>
          </w:p>
        </w:tc>
        <w:tc>
          <w:tcPr>
            <w:tcW w:type="dxa" w:w="1234"/>
          </w:tcPr>
          <w:p>
            <w:r>
              <w:t>This retention clause is not intended to reduce the agreed advance percentage but can</w:t>
              <w:br/>
              <w:t>affect payment timing.</w:t>
            </w:r>
          </w:p>
        </w:tc>
        <w:tc>
          <w:tcPr>
            <w:tcW w:type="dxa" w:w="1234"/>
          </w:tcPr>
          <w:p>
            <w:r>
              <w:t>Advance payment split across conditions</w:t>
            </w:r>
          </w:p>
        </w:tc>
        <w:tc>
          <w:tcPr>
            <w:tcW w:type="dxa" w:w="1234"/>
          </w:tcPr>
          <w:p>
            <w:r>
              <w:t>Past actions involved escalating to the CFO for lump-sum approval to secure pricing or proposing rolling letters of credit when advance payments were insufficient.</w:t>
              <w:br/>
              <w:br/>
              <w:t>Historical Reference</w:t>
              <w:br/>
              <w:t>Sources:</w:t>
              <w:br/>
              <w:t>• d1.docx – Payment Terms</w:t>
              <w:br/>
              <w:t>• d2.docx – Payment Terms</w:t>
            </w:r>
          </w:p>
        </w:tc>
      </w:tr>
      <w:tr>
        <w:tc>
          <w:tcPr>
            <w:tcW w:type="dxa" w:w="1234"/>
          </w:tcPr>
          <w:p>
            <w:r>
              <w:t>Payment Terms</w:t>
            </w:r>
          </w:p>
        </w:tc>
        <w:tc>
          <w:tcPr>
            <w:tcW w:type="dxa" w:w="1234"/>
          </w:tcPr>
          <w:p>
            <w:r>
              <w:t>All payments Net 30 days from invoice</w:t>
            </w:r>
          </w:p>
        </w:tc>
        <w:tc>
          <w:tcPr>
            <w:tcW w:type="dxa" w:w="1234"/>
          </w:tcPr>
          <w:p>
            <w:r>
              <w:t>Provisions regarding 'All payments Net 30 days from invoice': Buyer shall pay accepted invoices within thirty (30) days after receipt of a valid tax invoice. An invoice is valid only after the corresponding goods receipt note, inspection release, and packing-list reconciliation are completed in Buyer's system. If those acceptance records are completed after invoice receipt, the thirty-day clock starts from the later acceptance record, not the invoice date.</w:t>
            </w:r>
          </w:p>
        </w:tc>
        <w:tc>
          <w:tcPr>
            <w:tcW w:type="dxa" w:w="1234"/>
          </w:tcPr>
          <w:p>
            <w:r>
              <w:t>Partially Met</w:t>
            </w:r>
          </w:p>
        </w:tc>
        <w:tc>
          <w:tcPr>
            <w:tcW w:type="dxa" w:w="1234"/>
          </w:tcPr>
          <w:p>
            <w:r>
              <w:t>Buyer shall pay accepted invoices within thirty (30) days after receipt of a valid tax invoice. An invoice is valid only after the corresponding goods receipt note, inspection release, and packing-list reconciliation are completed in Buyer's system. If those acceptance records are completed after invoice receipt, the thirty-day clock starts from the later acceptance record, not the invoice date.</w:t>
            </w:r>
          </w:p>
        </w:tc>
        <w:tc>
          <w:tcPr>
            <w:tcW w:type="dxa" w:w="1234"/>
          </w:tcPr>
          <w:p>
            <w:r>
              <w:t>The requirement is partially met because the 30-day payment trigger is conditional upon the completion of specific acceptance records (goods receipt note, inspection release, and packing-list reconciliation). If these occur after the invoice date, the payment period is deferred, modifying the standard 'Net 30 from invoice' trigger.</w:t>
            </w:r>
          </w:p>
        </w:tc>
        <w:tc>
          <w:tcPr>
            <w:tcW w:type="dxa" w:w="1234"/>
          </w:tcPr>
          <w:p>
            <w:r>
              <w:t>Extended payment terms were previously accepted through executive waivers, often in exchange for price discounts or after confirmation of sufficient cash reserves.</w:t>
              <w:br/>
              <w:br/>
              <w:t>Historical Reference</w:t>
              <w:br/>
              <w:t>Source:</w:t>
              <w:br/>
              <w:t>d1.docx</w:t>
              <w:br/>
              <w:t>Clause: Payment Terms</w:t>
              <w:br/>
              <w:t>Requirement: All payments Net 30 days from invoice</w:t>
              <w:br/>
              <w:br/>
              <w:t>Quote:</w:t>
              <w:br/>
              <w:t>"Vendor wording accepted via executive waiver; extended terms granted in exchange for a 2% price discount."</w:t>
            </w:r>
          </w:p>
        </w:tc>
      </w:tr>
      <w:tr>
        <w:tc>
          <w:tcPr>
            <w:tcW w:type="dxa" w:w="1234"/>
          </w:tcPr>
          <w:p>
            <w:r>
              <w:t>Payment Terms</w:t>
            </w:r>
          </w:p>
        </w:tc>
        <w:tc>
          <w:tcPr>
            <w:tcW w:type="dxa" w:w="1234"/>
          </w:tcPr>
          <w:p>
            <w:r>
              <w:t>Partial delivery and invoicing allowed</w:t>
            </w:r>
          </w:p>
        </w:tc>
        <w:tc>
          <w:tcPr>
            <w:tcW w:type="dxa" w:w="1234"/>
          </w:tcPr>
          <w:p>
            <w:r>
              <w:t>Provisions regarding 'Partial delivery and invoicing allowed': Supplier may dispatch Lot A, Lot B, and Lot C separately and may raise a corresponding invoice for each completed lot.</w:t>
            </w:r>
          </w:p>
        </w:tc>
        <w:tc>
          <w:tcPr>
            <w:tcW w:type="dxa" w:w="1234"/>
          </w:tcPr>
          <w:p>
            <w:r>
              <w:t>Met</w:t>
            </w:r>
          </w:p>
        </w:tc>
        <w:tc>
          <w:tcPr>
            <w:tcW w:type="dxa" w:w="1234"/>
          </w:tcPr>
          <w:p>
            <w:r>
              <w:t>Supplier may dispatch Lot A, Lot B, and Lot C separately and may raise a corresponding invoice for each completed lot.</w:t>
            </w:r>
          </w:p>
        </w:tc>
        <w:tc>
          <w:tcPr>
            <w:tcW w:type="dxa" w:w="1234"/>
          </w:tcPr>
          <w:p>
            <w:r>
              <w:t>The contract explicitly allows for separate dispatch and invoicing of lots, which satisfies the requirement for partial delivery and invoicing.</w:t>
            </w:r>
          </w:p>
        </w:tc>
        <w:tc>
          <w:tcPr>
            <w:tcW w:type="dxa" w:w="1234"/>
          </w:tcPr>
          <w:p>
            <w:r>
              <w:t>Restrictions on partial invoicing were historically managed through contract review board updates or by accepting the risk via executive waivers to secure sole-source exclusivity.</w:t>
              <w:br/>
              <w:br/>
              <w:t>Historical Reference</w:t>
              <w:br/>
              <w:t>Sources:</w:t>
              <w:br/>
              <w:t>• d1.docx – Payment Terms</w:t>
              <w:br/>
              <w:t>• d2.docx – Payment Terms</w:t>
            </w:r>
          </w:p>
        </w:tc>
      </w:tr>
      <w:tr>
        <w:tc>
          <w:tcPr>
            <w:tcW w:type="dxa" w:w="1234"/>
          </w:tcPr>
          <w:p>
            <w:r>
              <w:t>Bank Guarantees</w:t>
            </w:r>
          </w:p>
        </w:tc>
        <w:tc>
          <w:tcPr>
            <w:tcW w:type="dxa" w:w="1234"/>
          </w:tcPr>
          <w:p>
            <w:r>
              <w:t>Performance Guarantee not exceeding 10%</w:t>
            </w:r>
          </w:p>
        </w:tc>
        <w:tc>
          <w:tcPr>
            <w:tcW w:type="dxa" w:w="1234"/>
          </w:tcPr>
          <w:p>
            <w:r>
              <w:t>Provisions regarding 'Performance Guarantee not exceeding 10%': In addition to the guarantee in Article 00511. 1, Supplier shall furnish a temporary bridge performance guarantee equal to two percent (2%) of the Purchase Order value from the date of the first advance tranche until the earlier of successful FAT release or first dispatch.</w:t>
            </w:r>
          </w:p>
        </w:tc>
        <w:tc>
          <w:tcPr>
            <w:tcW w:type="dxa" w:w="1234"/>
          </w:tcPr>
          <w:p>
            <w:r>
              <w:t>Not Met</w:t>
            </w:r>
          </w:p>
        </w:tc>
        <w:tc>
          <w:tcPr>
            <w:tcW w:type="dxa" w:w="1234"/>
          </w:tcPr>
          <w:p>
            <w:r>
              <w:t>In addition to the guarantee in Article 00511.3.1, Supplier shall furnish a temporary bridge performance</w:t>
              <w:br/>
              <w:t>guarantee equal to two percent (2%) of the Purchase Order value from the date of the first advance tranche until the earlier of successful</w:t>
              <w:br/>
              <w:t>FAT release or first dispatch.</w:t>
            </w:r>
          </w:p>
        </w:tc>
        <w:tc>
          <w:tcPr>
            <w:tcW w:type="dxa" w:w="1234"/>
          </w:tcPr>
          <w:p>
            <w:r>
              <w:t>Total security obligations found: 12.0%</w:t>
            </w:r>
          </w:p>
        </w:tc>
        <w:tc>
          <w:tcPr>
            <w:tcW w:type="dxa" w:w="1234"/>
          </w:tcPr>
          <w:p>
            <w:r>
              <w:t>Performance security was reduced through legal overrides based on audited asset records and the removal of secondary maintenance bonds.</w:t>
              <w:br/>
              <w:br/>
              <w:t>Historical Reference</w:t>
              <w:br/>
              <w:t>Source:</w:t>
              <w:br/>
              <w:t>d1.docx</w:t>
              <w:br/>
              <w:t>Clause: Bank Guarantees</w:t>
              <w:br/>
              <w:t>Requirement: Performance Guarantee not exceeding 10%</w:t>
              <w:br/>
              <w:br/>
              <w:t>Quote:</w:t>
              <w:br/>
              <w:t>"Reduced performance security via legal override after vendor submitted audited global asset records."</w:t>
            </w:r>
          </w:p>
        </w:tc>
      </w:tr>
      <w:tr>
        <w:tc>
          <w:tcPr>
            <w:tcW w:type="dxa" w:w="1234"/>
          </w:tcPr>
          <w:p>
            <w:r>
              <w:t>Bank Guarantees</w:t>
            </w:r>
          </w:p>
        </w:tc>
        <w:tc>
          <w:tcPr>
            <w:tcW w:type="dxa" w:w="1234"/>
          </w:tcPr>
          <w:p>
            <w:r>
              <w:t>Bank Guarantee validity period defined</w:t>
            </w:r>
          </w:p>
        </w:tc>
        <w:tc>
          <w:tcPr>
            <w:tcW w:type="dxa" w:w="1234"/>
          </w:tcPr>
          <w:p>
            <w:r>
              <w:t>Provisions regarding 'Bank Guarantee validity period defined': Supplier shall furnish an unconditional performance bank guarantee equal to ten percent (10%) of the Purchase Order value, valid until expiry of the standard guarantee period plus ninety (90) days.</w:t>
            </w:r>
          </w:p>
        </w:tc>
        <w:tc>
          <w:tcPr>
            <w:tcW w:type="dxa" w:w="1234"/>
          </w:tcPr>
          <w:p>
            <w:r>
              <w:t>Met</w:t>
            </w:r>
          </w:p>
        </w:tc>
        <w:tc>
          <w:tcPr>
            <w:tcW w:type="dxa" w:w="1234"/>
          </w:tcPr>
          <w:p>
            <w:r>
              <w:t>Supplier shall furnish an unconditional performance bank guarantee equal to ten percent (10%)</w:t>
              <w:br/>
              <w:t>of the Purchase Order value, valid until expiry of the standard guarantee period plus ninety (90) days.</w:t>
            </w:r>
          </w:p>
        </w:tc>
        <w:tc>
          <w:tcPr>
            <w:tcW w:type="dxa" w:w="1234"/>
          </w:tcPr>
          <w:p>
            <w:r>
              <w:t>Supplier shall furnish an unconditional performance bank guarantee equal to ten percent (10%)</w:t>
              <w:br/>
              <w:t>of the Purchase Order value, valid until expiry of the standard guarantee period plus ninety (90) days.</w:t>
            </w:r>
          </w:p>
        </w:tc>
        <w:tc>
          <w:tcPr>
            <w:tcW w:type="dxa" w:w="1234"/>
          </w:tcPr>
          <w:p>
            <w:r>
              <w:t>Internal audits identified gaps in validity periods and missing expiry dates, leading to formal remediation demands and deferred amendments.</w:t>
              <w:br/>
              <w:br/>
              <w:t>Historical Reference</w:t>
              <w:br/>
              <w:t>Sources:</w:t>
              <w:br/>
              <w:t>• d1.docx – Bank Guarantees</w:t>
              <w:br/>
              <w:t>• d2.docx – Bank Guarantees</w:t>
            </w:r>
          </w:p>
        </w:tc>
      </w:tr>
      <w:tr>
        <w:tc>
          <w:tcPr>
            <w:tcW w:type="dxa" w:w="1234"/>
          </w:tcPr>
          <w:p>
            <w:r>
              <w:t>Liquidated Damages</w:t>
            </w:r>
          </w:p>
        </w:tc>
        <w:tc>
          <w:tcPr>
            <w:tcW w:type="dxa" w:w="1234"/>
          </w:tcPr>
          <w:p>
            <w:r>
              <w:t>Documentation LD not applicable</w:t>
            </w:r>
          </w:p>
        </w:tc>
        <w:tc>
          <w:tcPr>
            <w:tcW w:type="dxa" w:w="1234"/>
          </w:tcPr>
          <w:p>
            <w:r>
              <w:t>Provisions regarding 'Documentation LD not applicable':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Negotiations focused on removing financial penalties for documentation delays to align with corporate risk standards.</w:t>
              <w:br/>
              <w:br/>
              <w:t>Historical Reference</w:t>
              <w:br/>
              <w:t>Source:</w:t>
              <w:br/>
              <w:t>d2.docx</w:t>
              <w:br/>
              <w:t>Clause: Liquidated Damages</w:t>
              <w:br/>
              <w:t>Requirement: Documentation LD not applicable</w:t>
              <w:br/>
              <w:br/>
              <w:t>Quote:</w:t>
              <w:br/>
              <w:t>"Negotiated lower LD cap and explicitly removed all documentation-related financial penalty strings from the text."</w:t>
            </w:r>
          </w:p>
        </w:tc>
      </w:tr>
      <w:tr>
        <w:tc>
          <w:tcPr>
            <w:tcW w:type="dxa" w:w="1234"/>
          </w:tcPr>
          <w:p>
            <w:r>
              <w:t>Liquidated Damages</w:t>
            </w:r>
          </w:p>
        </w:tc>
        <w:tc>
          <w:tcPr>
            <w:tcW w:type="dxa" w:w="1234"/>
          </w:tcPr>
          <w:p>
            <w:r>
              <w:t>Equipment Delivery LD 0.5% per week</w:t>
            </w:r>
          </w:p>
        </w:tc>
        <w:tc>
          <w:tcPr>
            <w:tcW w:type="dxa" w:w="1234"/>
          </w:tcPr>
          <w:p>
            <w:r>
              <w:t>Provisions regarding 'Equipment Delivery LD 0.5% per week':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While standard 0.5% rates were typically validated, some instances of higher rates led to deadlocked negotiations between vendor working groups.</w:t>
              <w:br/>
              <w:br/>
              <w:t>Historical Reference</w:t>
              <w:br/>
              <w:t>Sources:</w:t>
              <w:br/>
              <w:t>• d1.docx – Liquidated Damages</w:t>
              <w:br/>
              <w:t>• d2.docx – Liquidated Damages</w:t>
            </w:r>
          </w:p>
        </w:tc>
      </w:tr>
      <w:tr>
        <w:tc>
          <w:tcPr>
            <w:tcW w:type="dxa" w:w="1234"/>
          </w:tcPr>
          <w:p>
            <w:r>
              <w:t>Liquidated Damages</w:t>
            </w:r>
          </w:p>
        </w:tc>
        <w:tc>
          <w:tcPr>
            <w:tcW w:type="dxa" w:w="1234"/>
          </w:tcPr>
          <w:p>
            <w:r>
              <w:t>Equipment Delivery LD capped at 5%</w:t>
            </w:r>
          </w:p>
        </w:tc>
        <w:tc>
          <w:tcPr>
            <w:tcW w:type="dxa" w:w="1234"/>
          </w:tcPr>
          <w:p>
            <w:r>
              <w:t>Provisions regarding 'Equipment Delivery LD capped at 5%':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Efforts were made to establish clear component-level boundaries or shift from uncapped positions to aggregate frameworks during legal reviews.</w:t>
              <w:br/>
              <w:br/>
              <w:t>Historical Reference</w:t>
              <w:br/>
              <w:t>Sources:</w:t>
              <w:br/>
              <w:t>• d1.docx – Liquidated Damages</w:t>
              <w:br/>
              <w:t>• d2.docx – Liquidated Damages</w:t>
            </w:r>
          </w:p>
        </w:tc>
      </w:tr>
      <w:tr>
        <w:tc>
          <w:tcPr>
            <w:tcW w:type="dxa" w:w="1234"/>
          </w:tcPr>
          <w:p>
            <w:r>
              <w:t>Liquidated Damages</w:t>
            </w:r>
          </w:p>
        </w:tc>
        <w:tc>
          <w:tcPr>
            <w:tcW w:type="dxa" w:w="1234"/>
          </w:tcPr>
          <w:p>
            <w:r>
              <w:t>Aggregate LD capped at 5% PO value</w:t>
            </w:r>
          </w:p>
        </w:tc>
        <w:tc>
          <w:tcPr>
            <w:tcW w:type="dxa" w:w="1234"/>
          </w:tcPr>
          <w:p>
            <w:r>
              <w:t>Provisions regarding 'Aggregate LD capped at 5% PO value': For delay in delivery of equipment beyond the contractual delivery date, Supplier shall pay liquidated damages at zero point five percent (0. 5%) of the value of the undelivered part per completed week of delay.</w:t>
            </w:r>
          </w:p>
        </w:tc>
        <w:tc>
          <w:tcPr>
            <w:tcW w:type="dxa" w:w="1234"/>
          </w:tcPr>
          <w:p>
            <w:r>
              <w:t>Not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Found 7.5% cap</w:t>
            </w:r>
          </w:p>
        </w:tc>
        <w:tc>
          <w:tcPr>
            <w:tcW w:type="dxa" w:w="1234"/>
          </w:tcPr>
          <w:p>
            <w:r>
              <w:t>Corporate counsel and commercial settlements were used to replace higher penalty thresholds with a strict 5% absolute ceiling.</w:t>
              <w:br/>
              <w:br/>
              <w:t>Historical Reference</w:t>
              <w:br/>
              <w:t>Source:</w:t>
              <w:br/>
              <w:t>d1.docx</w:t>
              <w:br/>
              <w:t>Clause: Liquidated Damages</w:t>
              <w:br/>
              <w:t>Requirement: Aggregate LD capped at 5% PO value</w:t>
              <w:br/>
              <w:br/>
              <w:t>Quote:</w:t>
              <w:br/>
              <w:t>"Negotiated lower LD cap and established absolute 5% ceiling during global commercial settlement."</w:t>
            </w:r>
          </w:p>
        </w:tc>
      </w:tr>
      <w:tr>
        <w:tc>
          <w:tcPr>
            <w:tcW w:type="dxa" w:w="1234"/>
          </w:tcPr>
          <w:p>
            <w:r>
              <w:t>Liquidated Damages</w:t>
            </w:r>
          </w:p>
        </w:tc>
        <w:tc>
          <w:tcPr>
            <w:tcW w:type="dxa" w:w="1234"/>
          </w:tcPr>
          <w:p>
            <w:r>
              <w:t>Remedial Work LD not applicable</w:t>
            </w:r>
          </w:p>
        </w:tc>
        <w:tc>
          <w:tcPr>
            <w:tcW w:type="dxa" w:w="1234"/>
          </w:tcPr>
          <w:p>
            <w:r>
              <w:t>Provisions regarding 'Remedial Work LD not applicable':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Procurement teams worked to remove conditional dependencies to ensure penalties do not accrue during engineering remediation, though some risks remained under monitoring.</w:t>
              <w:br/>
              <w:br/>
              <w:t>Historical Reference</w:t>
              <w:br/>
              <w:t>Sources:</w:t>
              <w:br/>
              <w:t>• d1.docx – Liquidated Damages</w:t>
              <w:br/>
              <w:t>• d2.docx – Liquidated Damages</w:t>
            </w:r>
          </w:p>
        </w:tc>
      </w:tr>
      <w:tr>
        <w:tc>
          <w:tcPr>
            <w:tcW w:type="dxa" w:w="1234"/>
          </w:tcPr>
          <w:p>
            <w:r>
              <w:t>Guarantee</w:t>
            </w:r>
          </w:p>
        </w:tc>
        <w:tc>
          <w:tcPr>
            <w:tcW w:type="dxa" w:w="1234"/>
          </w:tcPr>
          <w:p>
            <w:r>
              <w:t>Warranty period defined</w:t>
            </w:r>
          </w:p>
        </w:tc>
        <w:tc>
          <w:tcPr>
            <w:tcW w:type="dxa" w:w="1234"/>
          </w:tcPr>
          <w:p>
            <w:r>
              <w:t>Provisions regarding 'Warranty period defined': Any repaired or replaced component shall be guaranteed for twelve (12) months from completion of repair or replacement, or until eighteen (18) months from original dispatch of the affected equipment, whichever occurs earlier.</w:t>
            </w:r>
          </w:p>
        </w:tc>
        <w:tc>
          <w:tcPr>
            <w:tcW w:type="dxa" w:w="1234"/>
          </w:tcPr>
          <w:p>
            <w:r>
              <w:t>Partially Met</w:t>
            </w:r>
          </w:p>
        </w:tc>
        <w:tc>
          <w:tcPr>
            <w:tcW w:type="dxa" w:w="1234"/>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234"/>
          </w:tcPr>
          <w:p>
            <w:r>
              <w:t>Clause contains material limitations, exceptions, carve-outs, conditions, or restricted applicability</w:t>
            </w:r>
          </w:p>
        </w:tc>
        <w:tc>
          <w:tcPr>
            <w:tcW w:type="dxa" w:w="1234"/>
          </w:tcPr>
          <w:p>
            <w:r>
              <w:t>The commercial team successfully negotiated extended warranty periods by making reciprocal concessions on maritime shipping and intellectual property clauses.</w:t>
              <w:br/>
              <w:br/>
              <w:t>Historical Reference</w:t>
              <w:br/>
              <w:t>Sources:</w:t>
              <w:br/>
              <w:t>• d1.docx – Guarantee</w:t>
              <w:br/>
              <w:t>• d2.docx – Guarantee</w:t>
            </w:r>
          </w:p>
        </w:tc>
      </w:tr>
      <w:tr>
        <w:tc>
          <w:tcPr>
            <w:tcW w:type="dxa" w:w="1234"/>
          </w:tcPr>
          <w:p>
            <w:r>
              <w:t>Guarantee</w:t>
            </w:r>
          </w:p>
        </w:tc>
        <w:tc>
          <w:tcPr>
            <w:tcW w:type="dxa" w:w="1234"/>
          </w:tcPr>
          <w:p>
            <w:r>
              <w:t>2 months from commissioning or 18 months from dispatch</w:t>
            </w:r>
          </w:p>
        </w:tc>
        <w:tc>
          <w:tcPr>
            <w:tcW w:type="dxa" w:w="1234"/>
          </w:tcPr>
          <w:p>
            <w:r>
              <w:t>Provisions regarding '2 months from commissioning or 18 months from dispatch': Any repaired or replaced component shall be guaranteed for twelve (12) months from completion of repair or replacement, or until eighteen (18) months from original dispatch of the affected equipment, whichever occurs earlier.</w:t>
            </w:r>
          </w:p>
        </w:tc>
        <w:tc>
          <w:tcPr>
            <w:tcW w:type="dxa" w:w="1234"/>
          </w:tcPr>
          <w:p>
            <w:r>
              <w:t>Partially Met</w:t>
            </w:r>
          </w:p>
        </w:tc>
        <w:tc>
          <w:tcPr>
            <w:tcW w:type="dxa" w:w="1234"/>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234"/>
          </w:tcPr>
          <w:p>
            <w:r>
              <w:t>Clause contains material limitations, exceptions, carve-outs, conditions, or restricted applicability</w:t>
            </w:r>
          </w:p>
        </w:tc>
        <w:tc>
          <w:tcPr>
            <w:tcW w:type="dxa" w:w="1234"/>
          </w:tcPr>
          <w:p>
            <w:r>
              <w:t>Efforts to align warranty triggers involved renegotiating durations during legal reviews and escalating risks to the Project Director when multi-trigger requirements were not met.</w:t>
              <w:br/>
              <w:br/>
              <w:t>Historical Reference</w:t>
              <w:br/>
              <w:t>Sources:</w:t>
              <w:br/>
              <w:t>• d1.docx – Guarantee</w:t>
              <w:br/>
              <w:t>• d2.docx – Guarantee</w:t>
            </w:r>
          </w:p>
        </w:tc>
      </w:tr>
      <w:tr>
        <w:tc>
          <w:tcPr>
            <w:tcW w:type="dxa" w:w="1234"/>
          </w:tcPr>
          <w:p>
            <w:r>
              <w:t>Guarantee</w:t>
            </w:r>
          </w:p>
        </w:tc>
        <w:tc>
          <w:tcPr>
            <w:tcW w:type="dxa" w:w="1234"/>
          </w:tcPr>
          <w:p>
            <w:r>
              <w:t>Repair/replacement warranty obligations defined</w:t>
            </w:r>
          </w:p>
        </w:tc>
        <w:tc>
          <w:tcPr>
            <w:tcW w:type="dxa" w:w="1234"/>
          </w:tcPr>
          <w:p>
            <w:r>
              <w:t>Provisions regarding 'Repair/replacement warranty obligations defined': Any repaired or replaced component shall be guaranteed for twelve (12) months from completion of repair or replacement, or until eighteen (18) months from original dispatch of the affected equipment, whichever occurs earlier.</w:t>
            </w:r>
          </w:p>
        </w:tc>
        <w:tc>
          <w:tcPr>
            <w:tcW w:type="dxa" w:w="1234"/>
          </w:tcPr>
          <w:p>
            <w:r>
              <w:t>Partially Met</w:t>
            </w:r>
          </w:p>
        </w:tc>
        <w:tc>
          <w:tcPr>
            <w:tcW w:type="dxa" w:w="1234"/>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234"/>
          </w:tcPr>
          <w:p>
            <w:r>
              <w:t>Clause contains material limitations, exceptions, carve-outs, conditions, or restricted applicability</w:t>
            </w:r>
          </w:p>
        </w:tc>
        <w:tc>
          <w:tcPr>
            <w:tcW w:type="dxa" w:w="1234"/>
          </w:tcPr>
          <w:p>
            <w:r>
              <w:t>Warranty obligations for repairs and replacements were finalized by adopting vendor-proposed wording and revising coverage limits during engineering alignment meetings.</w:t>
              <w:br/>
              <w:br/>
              <w:t>Historical Reference</w:t>
              <w:br/>
              <w:t>Source:</w:t>
              <w:br/>
              <w:t>d1.docx</w:t>
              <w:br/>
              <w:t>Clause: Guarantee</w:t>
              <w:br/>
              <w:t>Requirement: Repair/replacement warranty obligations defined</w:t>
              <w:br/>
              <w:br/>
              <w:t>Quote:</w:t>
              <w:br/>
              <w:t>"Revised warranty coverage limits during final engineering alignment meetings; closed by legal."</w:t>
            </w:r>
          </w:p>
        </w:tc>
      </w:tr>
      <w:tr>
        <w:tc>
          <w:tcPr>
            <w:tcW w:type="dxa" w:w="1234"/>
          </w:tcPr>
          <w:p>
            <w:r>
              <w:t>Force Majeure</w:t>
            </w:r>
          </w:p>
        </w:tc>
        <w:tc>
          <w:tcPr>
            <w:tcW w:type="dxa" w:w="1234"/>
          </w:tcPr>
          <w:p>
            <w:r>
              <w:t>Force majeure events defined</w:t>
            </w:r>
          </w:p>
        </w:tc>
        <w:tc>
          <w:tcPr>
            <w:tcW w:type="dxa" w:w="1234"/>
          </w:tcPr>
          <w:p>
            <w:r>
              <w:t>Provisions regarding 'Force majeure events defined': Supplier may claim Force Majeure relief for events affecting only the Tier-1 critical sub-suppliers named in Annex D or the approved international logistics carrier.</w:t>
            </w:r>
          </w:p>
        </w:tc>
        <w:tc>
          <w:tcPr>
            <w:tcW w:type="dxa" w:w="1234"/>
          </w:tcPr>
          <w:p>
            <w:r>
              <w:t>Partially Met</w:t>
            </w:r>
          </w:p>
        </w:tc>
        <w:tc>
          <w:tcPr>
            <w:tcW w:type="dxa" w:w="1234"/>
          </w:tcPr>
          <w:p>
            <w:r>
              <w:t>Supplier may claim Force Majeure relief for events affecting only the Tier-1 critical sub-suppliers named</w:t>
              <w:br/>
              <w:t>in Annex D or the approved international logistics carrier.</w:t>
            </w:r>
          </w:p>
        </w:tc>
        <w:tc>
          <w:tcPr>
            <w:tcW w:type="dxa" w:w="1234"/>
          </w:tcPr>
          <w:p>
            <w:r>
              <w:t>Clause contains material limitations, exceptions, carve-outs, conditions, or restricted applicability</w:t>
            </w:r>
          </w:p>
        </w:tc>
        <w:tc>
          <w:tcPr>
            <w:tcW w:type="dxa" w:w="1234"/>
          </w:tcPr>
          <w:p>
            <w:r>
              <w:t>Force majeure definitions were standardized across drafts and expanded to include specific risks like regional power grid failures following legal audits.</w:t>
              <w:br/>
              <w:br/>
              <w:t>Historical Reference</w:t>
              <w:br/>
              <w:t>Sources:</w:t>
              <w:br/>
              <w:t>• d1.docx – Force Majeure</w:t>
              <w:br/>
              <w:t>• d2.docx – Force Majeure</w:t>
            </w:r>
          </w:p>
        </w:tc>
      </w:tr>
      <w:tr>
        <w:tc>
          <w:tcPr>
            <w:tcW w:type="dxa" w:w="1234"/>
          </w:tcPr>
          <w:p>
            <w:r>
              <w:t>Force Majeure</w:t>
            </w:r>
          </w:p>
        </w:tc>
        <w:tc>
          <w:tcPr>
            <w:tcW w:type="dxa" w:w="1234"/>
          </w:tcPr>
          <w:p>
            <w:r>
              <w:t>Applies to subcontractors</w:t>
            </w:r>
          </w:p>
        </w:tc>
        <w:tc>
          <w:tcPr>
            <w:tcW w:type="dxa" w:w="1234"/>
          </w:tcPr>
          <w:p>
            <w:r>
              <w:t>Provisions regarding 'Applies to subcontractors': Force majeure applies only to named Tier-1 / approved suppliers.</w:t>
            </w:r>
          </w:p>
        </w:tc>
        <w:tc>
          <w:tcPr>
            <w:tcW w:type="dxa" w:w="1234"/>
          </w:tcPr>
          <w:p>
            <w:r>
              <w:t>Partially Met</w:t>
            </w:r>
          </w:p>
        </w:tc>
        <w:tc>
          <w:tcPr>
            <w:tcW w:type="dxa" w:w="1234"/>
          </w:tcPr>
          <w:p>
            <w:r>
              <w:t>Force majeure applies only to named Tier-1 / approved suppliers</w:t>
            </w:r>
          </w:p>
        </w:tc>
        <w:tc>
          <w:tcPr>
            <w:tcW w:type="dxa" w:w="1234"/>
          </w:tcPr>
          <w:p>
            <w:r>
              <w:t>Applies only to specific suppliers</w:t>
            </w:r>
          </w:p>
        </w:tc>
        <w:tc>
          <w:tcPr>
            <w:tcW w:type="dxa" w:w="1234"/>
          </w:tcPr>
          <w:p>
            <w:r>
              <w:t>Wording was adjusted through a subcontractor compliance review and formal amendments to ensure force majeure relief extends to the entire supply chain.</w:t>
              <w:br/>
              <w:br/>
              <w:t>Historical Reference</w:t>
              <w:br/>
              <w:t>Source:</w:t>
              <w:br/>
              <w:t>d1.docx</w:t>
              <w:br/>
              <w:t>Clause: Force Majeure</w:t>
              <w:br/>
              <w:t>Requirement: Applies to subcontractors</w:t>
              <w:br/>
              <w:br/>
              <w:t>Quote:</w:t>
              <w:br/>
              <w:t>"Wording adjusted after subcontractor compliance review; closed after formal execution of Amendment 2."</w:t>
            </w:r>
          </w:p>
        </w:tc>
      </w:tr>
      <w:tr>
        <w:tc>
          <w:tcPr>
            <w:tcW w:type="dxa" w:w="1234"/>
          </w:tcPr>
          <w:p>
            <w:r>
              <w:t>Force Majeure</w:t>
            </w:r>
          </w:p>
        </w:tc>
        <w:tc>
          <w:tcPr>
            <w:tcW w:type="dxa" w:w="1234"/>
          </w:tcPr>
          <w:p>
            <w:r>
              <w:t>Notice obligations defined</w:t>
            </w:r>
          </w:p>
        </w:tc>
        <w:tc>
          <w:tcPr>
            <w:tcW w:type="dxa" w:w="1234"/>
          </w:tcPr>
          <w:p>
            <w:r>
              <w:t>Provisions regarding 'Notice obligations defined': Supplier may claim Force Majeure relief for events affecting only the Tier-1 critical sub-suppliers named in Annex D or the approved international logistics carrier.</w:t>
            </w:r>
          </w:p>
        </w:tc>
        <w:tc>
          <w:tcPr>
            <w:tcW w:type="dxa" w:w="1234"/>
          </w:tcPr>
          <w:p>
            <w:r>
              <w:t>Partially Met</w:t>
            </w:r>
          </w:p>
        </w:tc>
        <w:tc>
          <w:tcPr>
            <w:tcW w:type="dxa" w:w="1234"/>
          </w:tcPr>
          <w:p>
            <w:r>
              <w:t>Supplier may claim Force Majeure relief for events affecting only the Tier-1 critical sub-suppliers named</w:t>
              <w:br/>
              <w:t>in Annex D or the approved international logistics carrier.</w:t>
            </w:r>
          </w:p>
        </w:tc>
        <w:tc>
          <w:tcPr>
            <w:tcW w:type="dxa" w:w="1234"/>
          </w:tcPr>
          <w:p>
            <w:r>
              <w:t>Clause contains material limitations, exceptions, carve-outs, conditions, or restricted applicability</w:t>
            </w:r>
          </w:p>
        </w:tc>
        <w:tc>
          <w:tcPr>
            <w:tcW w:type="dxa" w:w="1234"/>
          </w:tcPr>
          <w:p>
            <w:r>
              <w:t>Notice periods were simplified and extended from an unrealistic 24-hour window to more achievable timelines, such as 72 hours or five business days.</w:t>
              <w:br/>
              <w:br/>
              <w:t>Historical Reference</w:t>
              <w:br/>
              <w:t>Sources:</w:t>
              <w:br/>
              <w:t>• d1.docx – Force Majeure</w:t>
              <w:br/>
              <w:t>• d2.docx – Force Majeure</w:t>
            </w:r>
          </w:p>
        </w:tc>
      </w:tr>
      <w:tr>
        <w:tc>
          <w:tcPr>
            <w:tcW w:type="dxa" w:w="1234"/>
          </w:tcPr>
          <w:p>
            <w:r>
              <w:t>Termination</w:t>
            </w:r>
          </w:p>
        </w:tc>
        <w:tc>
          <w:tcPr>
            <w:tcW w:type="dxa" w:w="1234"/>
          </w:tcPr>
          <w:p>
            <w:r>
              <w:t>Termination rights defined</w:t>
            </w:r>
          </w:p>
        </w:tc>
        <w:tc>
          <w:tcPr>
            <w:tcW w:type="dxa" w:w="1234"/>
          </w:tcPr>
          <w:p>
            <w:r>
              <w:t>Provisions regarding 'Termination rights defined':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234"/>
          </w:tcPr>
          <w:p>
            <w:r>
              <w:t>Met</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Termination rights were standardized by the legal team, though some efforts focused on balancing the contract to allow supplier-initiated termination for non-payment.</w:t>
              <w:br/>
              <w:br/>
              <w:t>Historical Reference</w:t>
              <w:br/>
              <w:t>Sources:</w:t>
              <w:br/>
              <w:t>• d1.docx – Termination</w:t>
              <w:br/>
              <w:t>• d2.docx – Termination</w:t>
            </w:r>
          </w:p>
        </w:tc>
      </w:tr>
      <w:tr>
        <w:tc>
          <w:tcPr>
            <w:tcW w:type="dxa" w:w="1234"/>
          </w:tcPr>
          <w:p>
            <w:r>
              <w:t>Termination</w:t>
            </w:r>
          </w:p>
        </w:tc>
        <w:tc>
          <w:tcPr>
            <w:tcW w:type="dxa" w:w="1234"/>
          </w:tcPr>
          <w:p>
            <w:r>
              <w:t>Cancellation fee structure defined</w:t>
            </w:r>
          </w:p>
        </w:tc>
        <w:tc>
          <w:tcPr>
            <w:tcW w:type="dxa" w:w="1234"/>
          </w:tcPr>
          <w:p>
            <w:r>
              <w:t>Provisions regarding 'Cancellation fee structure defined':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234"/>
          </w:tcPr>
          <w:p>
            <w:r>
              <w:t>Met</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The commercial team attempted to replace rigid flat-rate lump sums with dynamic milestone-based fee structures to better protect work-in-progress investments.</w:t>
              <w:br/>
              <w:br/>
              <w:t>Historical Reference</w:t>
              <w:br/>
              <w:t>Sources:</w:t>
              <w:br/>
              <w:t>• d1.docx – Termination</w:t>
              <w:br/>
              <w:t>• d2.docx – Termination</w:t>
            </w:r>
          </w:p>
        </w:tc>
      </w:tr>
      <w:tr>
        <w:tc>
          <w:tcPr>
            <w:tcW w:type="dxa" w:w="1234"/>
          </w:tcPr>
          <w:p>
            <w:r>
              <w:t>Termination</w:t>
            </w:r>
          </w:p>
        </w:tc>
        <w:tc>
          <w:tcPr>
            <w:tcW w:type="dxa" w:w="1234"/>
          </w:tcPr>
          <w:p>
            <w:r>
              <w:t>61-90 day cancellation fee 40%</w:t>
            </w:r>
          </w:p>
        </w:tc>
        <w:tc>
          <w:tcPr>
            <w:tcW w:type="dxa" w:w="1234"/>
          </w:tcPr>
          <w:p>
            <w:r>
              <w:t>Provisions regarding '61-90 day cancellation fee 40%': Article 00511. 9 - Cancellation and Early Termination Fee.</w:t>
            </w:r>
          </w:p>
        </w:tc>
        <w:tc>
          <w:tcPr>
            <w:tcW w:type="dxa" w:w="1234"/>
          </w:tcPr>
          <w:p>
            <w:r>
              <w:t>Not Met</w:t>
            </w:r>
          </w:p>
        </w:tc>
        <w:tc>
          <w:tcPr>
            <w:tcW w:type="dxa" w:w="1234"/>
          </w:tcPr>
          <w:p>
            <w:r>
              <w:t>Article 00511.9 - Cancellation and Early Termination Fee</w:t>
            </w:r>
          </w:p>
        </w:tc>
        <w:tc>
          <w:tcPr>
            <w:tcW w:type="dxa" w:w="1234"/>
          </w:tcPr>
          <w:p>
            <w:r>
              <w:t>Required 40.0% not found</w:t>
            </w:r>
          </w:p>
        </w:tc>
        <w:tc>
          <w:tcPr>
            <w:tcW w:type="dxa" w:w="1234"/>
          </w:tcPr>
          <w:p>
            <w:r>
              <w:t>Baseline percentages were corrected during formatting reviews and finalized following a legal review to address asset tracking shortfalls.</w:t>
              <w:br/>
              <w:br/>
              <w:t>Historical Reference</w:t>
              <w:br/>
              <w:t>Source:</w:t>
              <w:br/>
              <w:t>d1.docx</w:t>
              <w:br/>
              <w:t>Clause: Termination</w:t>
              <w:br/>
              <w:t>Requirement: 61-90 day cancellation fee 40%</w:t>
              <w:br/>
              <w:br/>
              <w:t>Quote:</w:t>
              <w:br/>
              <w:t>"Baseline percentages re-aligned and corrected during pre-signature document formatting review."</w:t>
            </w:r>
          </w:p>
        </w:tc>
      </w:tr>
      <w:tr>
        <w:tc>
          <w:tcPr>
            <w:tcW w:type="dxa" w:w="1234"/>
          </w:tcPr>
          <w:p>
            <w:r>
              <w:t>Suspension</w:t>
            </w:r>
          </w:p>
        </w:tc>
        <w:tc>
          <w:tcPr>
            <w:tcW w:type="dxa" w:w="1234"/>
          </w:tcPr>
          <w:p>
            <w:r>
              <w:t>Maximum 2 suspensions and 30 days aggregate</w:t>
            </w:r>
          </w:p>
        </w:tc>
        <w:tc>
          <w:tcPr>
            <w:tcW w:type="dxa" w:w="1234"/>
          </w:tcPr>
          <w:p>
            <w:r>
              <w:t>Provisions regarding 'Maximum 2 suspensions and 30 days aggregate': Suspension limits exclude regulatory, government, legal, and safety stoppages.</w:t>
            </w:r>
          </w:p>
        </w:tc>
        <w:tc>
          <w:tcPr>
            <w:tcW w:type="dxa" w:w="1234"/>
          </w:tcPr>
          <w:p>
            <w:r>
              <w:t>Partially Met</w:t>
            </w:r>
          </w:p>
        </w:tc>
        <w:tc>
          <w:tcPr>
            <w:tcW w:type="dxa" w:w="1234"/>
          </w:tcPr>
          <w:p>
            <w:r>
              <w:t>Suspension limits exclude regulatory, government, legal, and safety stoppages</w:t>
            </w:r>
          </w:p>
        </w:tc>
        <w:tc>
          <w:tcPr>
            <w:tcW w:type="dxa" w:w="1234"/>
          </w:tcPr>
          <w:p>
            <w:r>
              <w:t>Certain suspension categories excluded from limit</w:t>
            </w:r>
          </w:p>
        </w:tc>
        <w:tc>
          <w:tcPr>
            <w:tcW w:type="dxa" w:w="1234"/>
          </w:tcPr>
          <w:p>
            <w:r>
              <w:t>Hard duration limits and an approval workflow were implemented following a review of previous contract disputes.</w:t>
              <w:br/>
              <w:br/>
              <w:t>Historical Reference</w:t>
              <w:br/>
              <w:t>Source:</w:t>
              <w:br/>
              <w:t>d1.docx</w:t>
              <w:br/>
              <w:t>Clause: Suspension</w:t>
              <w:br/>
              <w:t>Requirement: Maximum 2 suspensions and 30 days aggregate</w:t>
              <w:br/>
              <w:br/>
              <w:t>Quote:</w:t>
              <w:br/>
              <w:t>"Added suspension approval workflow and hard duration limits after prior contract dispute review."</w:t>
            </w:r>
          </w:p>
        </w:tc>
      </w:tr>
      <w:tr>
        <w:tc>
          <w:tcPr>
            <w:tcW w:type="dxa" w:w="1234"/>
          </w:tcPr>
          <w:p>
            <w:r>
              <w:t>Suspension</w:t>
            </w:r>
          </w:p>
        </w:tc>
        <w:tc>
          <w:tcPr>
            <w:tcW w:type="dxa" w:w="1234"/>
          </w:tcPr>
          <w:p>
            <w:r>
              <w:t>Supplier obligations during suspension defined</w:t>
            </w:r>
          </w:p>
        </w:tc>
        <w:tc>
          <w:tcPr>
            <w:tcW w:type="dxa" w:w="1234"/>
          </w:tcPr>
          <w:p>
            <w:r>
              <w:t>Provisions regarding 'Supplier obligations during suspension defined': Buyer may suspend work for commercial convenience no more than two (2) times during the Purchase Order term, and the aggregate duration of such commercial-convenience suspensions shall not exceed thirty (30) calendar days unless Supplier agrees in writing.</w:t>
            </w:r>
          </w:p>
        </w:tc>
        <w:tc>
          <w:tcPr>
            <w:tcW w:type="dxa" w:w="1234"/>
          </w:tcPr>
          <w:p>
            <w:r>
              <w:t>Met</w:t>
            </w:r>
          </w:p>
        </w:tc>
        <w:tc>
          <w:tcPr>
            <w:tcW w:type="dxa" w:w="1234"/>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234"/>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234"/>
          </w:tcPr>
          <w:p>
            <w:r>
              <w:t>Engineering teams embedded explicit preservation protocols into the contract, while maintenance cost allocations were escalated to the procurement board.</w:t>
              <w:br/>
              <w:br/>
              <w:t>Historical Reference</w:t>
              <w:br/>
              <w:t>Sources:</w:t>
              <w:br/>
              <w:t>• d1.docx – Suspension</w:t>
              <w:br/>
              <w:t>• d2.docx – Suspension</w:t>
            </w:r>
          </w:p>
        </w:tc>
      </w:tr>
      <w:tr>
        <w:tc>
          <w:tcPr>
            <w:tcW w:type="dxa" w:w="1234"/>
          </w:tcPr>
          <w:p>
            <w:r>
              <w:t>Change Orders</w:t>
            </w:r>
          </w:p>
        </w:tc>
        <w:tc>
          <w:tcPr>
            <w:tcW w:type="dxa" w:w="1234"/>
          </w:tcPr>
          <w:p>
            <w:r>
              <w:t>Formal amendment process defined</w:t>
            </w:r>
          </w:p>
        </w:tc>
        <w:tc>
          <w:tcPr>
            <w:tcW w:type="dxa" w:w="1234"/>
          </w:tcPr>
          <w:p>
            <w:r>
              <w:t>Provisions regarding 'Formal amendment process defined':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234"/>
          </w:tcPr>
          <w:p>
            <w:r>
              <w:t>Met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A formal change request protocol and a strict document precedence matrix were integrated to eliminate risks associated with informal amendments.</w:t>
              <w:br/>
              <w:br/>
              <w:t>Historical Reference</w:t>
              <w:br/>
              <w:t>Source:</w:t>
              <w:br/>
              <w:t>d2.docx</w:t>
              <w:br/>
              <w:t>Clause: Change Orders</w:t>
              <w:br/>
              <w:t>Requirement: Formal amendment process defined</w:t>
              <w:br/>
              <w:br/>
              <w:t>Quote:</w:t>
              <w:br/>
              <w:t>"Implemented formal change request protocol and strict document precedence matrix; closed after amendment integration."</w:t>
            </w:r>
          </w:p>
        </w:tc>
      </w:tr>
      <w:tr>
        <w:tc>
          <w:tcPr>
            <w:tcW w:type="dxa" w:w="1234"/>
          </w:tcPr>
          <w:p>
            <w:r>
              <w:t>Change Orders</w:t>
            </w:r>
          </w:p>
        </w:tc>
        <w:tc>
          <w:tcPr>
            <w:tcW w:type="dxa" w:w="1234"/>
          </w:tcPr>
          <w:p>
            <w:r>
              <w:t>Timeline for approval defined</w:t>
            </w:r>
          </w:p>
        </w:tc>
        <w:tc>
          <w:tcPr>
            <w:tcW w:type="dxa" w:w="1234"/>
          </w:tcPr>
          <w:p>
            <w:r>
              <w:t>Provisions regarding 'Timeline for approval defined':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234"/>
          </w:tcPr>
          <w:p>
            <w:r>
              <w:t>Met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Efforts were made to replace vague timeframes with a formal approval process and to eliminate unilateral directives that bypassed cost tracking.</w:t>
              <w:br/>
              <w:br/>
              <w:t>Historical Reference</w:t>
              <w:br/>
              <w:t>Source:</w:t>
              <w:br/>
              <w:t>d2.docx</w:t>
              <w:br/>
              <w:t>Clause: Change Orders</w:t>
              <w:br/>
              <w:t>Requirement: Timeline for approval defined</w:t>
              <w:br/>
              <w:br/>
              <w:t>Quote:</w:t>
              <w:br/>
              <w:t>"Implemented formal change request and approval process; unilateral directives flagged for secondary elimination."</w:t>
            </w:r>
          </w:p>
        </w:tc>
      </w:tr>
      <w:tr>
        <w:tc>
          <w:tcPr>
            <w:tcW w:type="dxa" w:w="1234"/>
          </w:tcPr>
          <w:p>
            <w:r>
              <w:t>Governing Law</w:t>
            </w:r>
          </w:p>
        </w:tc>
        <w:tc>
          <w:tcPr>
            <w:tcW w:type="dxa" w:w="1234"/>
          </w:tcPr>
          <w:p>
            <w:r>
              <w:t>Applicable law specified</w:t>
            </w:r>
          </w:p>
        </w:tc>
        <w:tc>
          <w:tcPr>
            <w:tcW w:type="dxa" w:w="1234"/>
          </w:tcPr>
          <w:p>
            <w:r>
              <w:t>Provisions regarding 'Applicable law specified': This Purchase Order and all non-contractual obligations arising out of or in connection with it shall be governed by the laws of India, excluding conflict-of-law principles.</w:t>
            </w:r>
          </w:p>
        </w:tc>
        <w:tc>
          <w:tcPr>
            <w:tcW w:type="dxa" w:w="1234"/>
          </w:tcPr>
          <w:p>
            <w:r>
              <w:t>Partially Met</w:t>
            </w:r>
          </w:p>
        </w:tc>
        <w:tc>
          <w:tcPr>
            <w:tcW w:type="dxa" w:w="1234"/>
          </w:tcPr>
          <w:p>
            <w:r>
              <w:t>This Purchase Order and all non-contractual obligations arising out of or in connection with it shall be</w:t>
              <w:br/>
              <w:t>governed by the laws of India, excluding conflict-of-law principles.</w:t>
            </w:r>
          </w:p>
        </w:tc>
        <w:tc>
          <w:tcPr>
            <w:tcW w:type="dxa" w:w="1234"/>
          </w:tcPr>
          <w:p>
            <w:r>
              <w:t>Clause contains material limitations, exceptions, carve-outs, conditions, or restricted applicability</w:t>
            </w:r>
          </w:p>
        </w:tc>
        <w:tc>
          <w:tcPr>
            <w:tcW w:type="dxa" w:w="1234"/>
          </w:tcPr>
          <w:p>
            <w:r>
              <w:t>A standardized governing law framework was applied across all global procurement files to simplify legal enforcement.</w:t>
              <w:br/>
              <w:br/>
              <w:t>Historical Reference</w:t>
              <w:br/>
              <w:t>Source:</w:t>
              <w:br/>
              <w:t>d1.docx</w:t>
              <w:br/>
              <w:t>Clause: Governing Law</w:t>
              <w:br/>
              <w:t>Requirement: Applicable law specified</w:t>
              <w:br/>
              <w:br/>
              <w:t>Quote:</w:t>
              <w:br/>
              <w:t>"Standardized governing law framework applied across all active global procurement files."</w:t>
            </w:r>
          </w:p>
        </w:tc>
      </w:tr>
      <w:tr>
        <w:tc>
          <w:tcPr>
            <w:tcW w:type="dxa" w:w="1234"/>
          </w:tcPr>
          <w:p>
            <w:r>
              <w:t>Dispute Resolution</w:t>
            </w:r>
          </w:p>
        </w:tc>
        <w:tc>
          <w:tcPr>
            <w:tcW w:type="dxa" w:w="1234"/>
          </w:tcPr>
          <w:p>
            <w:r>
              <w:t>Arbitration mechanism defined</w:t>
            </w:r>
          </w:p>
        </w:tc>
        <w:tc>
          <w:tcPr>
            <w:tcW w:type="dxa" w:w="1234"/>
          </w:tcPr>
          <w:p>
            <w:r>
              <w:t>Provisions regarding 'Arbitration mechanism defined': Disputes limited to laboratory test methodology shall first be referred to a technical expert in Mumbai; if the expert's determination is rejected, only the remaining legal dispute proceeds to Singapore arbitration.</w:t>
            </w:r>
          </w:p>
        </w:tc>
        <w:tc>
          <w:tcPr>
            <w:tcW w:type="dxa" w:w="1234"/>
          </w:tcPr>
          <w:p>
            <w:r>
              <w:t>Met</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A multi-tier framework was introduced to address home-court bias, and new arbitration text was proposed to replace direct court litigation.</w:t>
              <w:br/>
              <w:br/>
              <w:t>Historical Reference</w:t>
              <w:br/>
              <w:t>Sources:</w:t>
              <w:br/>
              <w:t>• d1.docx – Dispute Resolution</w:t>
              <w:br/>
              <w:t>• d2.docx – Dispute Resolution</w:t>
            </w:r>
          </w:p>
        </w:tc>
      </w:tr>
      <w:tr>
        <w:tc>
          <w:tcPr>
            <w:tcW w:type="dxa" w:w="1234"/>
          </w:tcPr>
          <w:p>
            <w:r>
              <w:t>Dispute Resolution</w:t>
            </w:r>
          </w:p>
        </w:tc>
        <w:tc>
          <w:tcPr>
            <w:tcW w:type="dxa" w:w="1234"/>
          </w:tcPr>
          <w:p>
            <w:r>
              <w:t>Seat of arbitration specified</w:t>
            </w:r>
          </w:p>
        </w:tc>
        <w:tc>
          <w:tcPr>
            <w:tcW w:type="dxa" w:w="1234"/>
          </w:tcPr>
          <w:p>
            <w:r>
              <w:t>Provisions regarding 'Seat of arbitration specified': Disputes limited to laboratory test methodology shall first be referred to a technical expert in Mumbai; if the expert's determination is rejected, only the remaining legal dispute proceeds to Singapore arbitration.</w:t>
            </w:r>
          </w:p>
        </w:tc>
        <w:tc>
          <w:tcPr>
            <w:tcW w:type="dxa" w:w="1234"/>
          </w:tcPr>
          <w:p>
            <w:r>
              <w:t>Met</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The legal committee evaluated alternative international neutral locations to resolve the lack of a designated arbitration seat.</w:t>
              <w:br/>
              <w:br/>
              <w:t>Historical Reference</w:t>
              <w:br/>
              <w:t>Source:</w:t>
              <w:br/>
              <w:t>d1.docx</w:t>
              <w:br/>
              <w:t>Clause: Dispute Resolution</w:t>
              <w:br/>
              <w:t>Requirement: Seat of arbitration specified</w:t>
              <w:br/>
              <w:br/>
              <w:t>Quote:</w:t>
              <w:br/>
              <w:t>"Resolution stalled in legal committee; alternative international neutral locations are currently under active evaluation."</w:t>
            </w:r>
          </w:p>
        </w:tc>
      </w:tr>
      <w:tr>
        <w:tc>
          <w:tcPr>
            <w:tcW w:type="dxa" w:w="1234"/>
          </w:tcPr>
          <w:p>
            <w:r>
              <w:t>Insurance</w:t>
            </w:r>
          </w:p>
        </w:tc>
        <w:tc>
          <w:tcPr>
            <w:tcW w:type="dxa" w:w="1234"/>
          </w:tcPr>
          <w:p>
            <w:r>
              <w:t>Insurance responsibilities defined</w:t>
            </w:r>
          </w:p>
        </w:tc>
        <w:tc>
          <w:tcPr>
            <w:tcW w:type="dxa" w:w="1234"/>
          </w:tcPr>
          <w:p>
            <w:r>
              <w:t>Provisions regarding 'Insurance responsibilities defined': Article 00511. 4 - Delivery, Readiness, and Storage.</w:t>
            </w:r>
          </w:p>
        </w:tc>
        <w:tc>
          <w:tcPr>
            <w:tcW w:type="dxa" w:w="1234"/>
          </w:tcPr>
          <w:p>
            <w:r>
              <w:t>Met</w:t>
            </w:r>
          </w:p>
        </w:tc>
        <w:tc>
          <w:tcPr>
            <w:tcW w:type="dxa" w:w="1234"/>
          </w:tcPr>
          <w:p>
            <w:r>
              <w:t>Article 00511.4 - Delivery, Readiness, and Storage</w:t>
            </w:r>
          </w:p>
        </w:tc>
        <w:tc>
          <w:tcPr>
            <w:tcW w:type="dxa" w:w="1234"/>
          </w:tcPr>
          <w:p>
            <w:r>
              <w:t>Article 00511.4 - Delivery, Readiness, and Storage</w:t>
            </w:r>
          </w:p>
        </w:tc>
        <w:tc>
          <w:tcPr>
            <w:tcW w:type="dxa" w:w="1234"/>
          </w:tcPr>
          <w:p>
            <w:r>
              <w:t>Standard insurance language was validated against corporate baselines, while gaps in international transit coverage were addressed through supplementary carrier agreements.</w:t>
              <w:br/>
              <w:br/>
              <w:t>Historical Reference</w:t>
              <w:br/>
              <w:t>Sources:</w:t>
              <w:br/>
              <w:t>• d1.docx – Insurance</w:t>
              <w:br/>
              <w:t>• d2.docx – Insurance</w:t>
            </w:r>
          </w:p>
        </w:tc>
      </w:tr>
      <w:tr>
        <w:tc>
          <w:tcPr>
            <w:tcW w:type="dxa" w:w="1234"/>
          </w:tcPr>
          <w:p>
            <w:r>
              <w:t>Insurance</w:t>
            </w:r>
          </w:p>
        </w:tc>
        <w:tc>
          <w:tcPr>
            <w:tcW w:type="dxa" w:w="1234"/>
          </w:tcPr>
          <w:p>
            <w:r>
              <w:t>Equipment damage covered while at buyer premises</w:t>
            </w:r>
          </w:p>
        </w:tc>
        <w:tc>
          <w:tcPr>
            <w:tcW w:type="dxa" w:w="1234"/>
          </w:tcPr>
          <w:p>
            <w:r>
              <w:t>Provisions regarding 'Equipment damage covered while at buyer premises': Storage charges are without prejudice to Supplier's right to claim insurance or preservation costs caused by abnormal storage conditions.</w:t>
            </w:r>
          </w:p>
        </w:tc>
        <w:tc>
          <w:tcPr>
            <w:tcW w:type="dxa" w:w="1234"/>
          </w:tcPr>
          <w:p>
            <w:r>
              <w:t>Met</w:t>
            </w:r>
          </w:p>
        </w:tc>
        <w:tc>
          <w:tcPr>
            <w:tcW w:type="dxa" w:w="1234"/>
          </w:tcPr>
          <w:p>
            <w:r>
              <w:t>Storage charges are</w:t>
              <w:br/>
              <w:t>without prejudice to Supplier's right to claim insurance or preservation costs caused by abnormal storage conditions.</w:t>
            </w:r>
          </w:p>
        </w:tc>
        <w:tc>
          <w:tcPr>
            <w:tcW w:type="dxa" w:w="1234"/>
          </w:tcPr>
          <w:p>
            <w:r>
              <w:t>Storage charges are</w:t>
              <w:br/>
              <w:t>without prejudice to Supplier's right to claim insurance or preservation costs caused by abnormal storage conditions.</w:t>
            </w:r>
          </w:p>
        </w:tc>
        <w:tc>
          <w:tcPr>
            <w:tcW w:type="dxa" w:w="1234"/>
          </w:tcPr>
          <w:p>
            <w:r>
              <w:t>When vendors refused to accept storage risks at buyer premises, management mitigated the exposure by securing a secondary corporate property rider policy.</w:t>
              <w:br/>
              <w:br/>
              <w:t>Historical Reference</w:t>
              <w:br/>
              <w:t>Source:</w:t>
              <w:br/>
              <w:t>d1.docx</w:t>
              <w:br/>
              <w:t>Clause: Insurance</w:t>
              <w:br/>
              <w:t>Requirement: Equipment damage covered while at buyer premises</w:t>
              <w:br/>
              <w:br/>
              <w:t>Quote:</w:t>
              <w:br/>
              <w:t>"Management accepted field damage risk after securing a secondary comprehensive corporate property rider policy."</w:t>
            </w:r>
          </w:p>
        </w:tc>
      </w:tr>
      <w:tr>
        <w:tc>
          <w:tcPr>
            <w:tcW w:type="dxa" w:w="1234"/>
          </w:tcPr>
          <w:p>
            <w:r>
              <w:t>Liability</w:t>
            </w:r>
          </w:p>
        </w:tc>
        <w:tc>
          <w:tcPr>
            <w:tcW w:type="dxa" w:w="1234"/>
          </w:tcPr>
          <w:p>
            <w:r>
              <w:t>Aggregate liability cap defined</w:t>
            </w:r>
          </w:p>
        </w:tc>
        <w:tc>
          <w:tcPr>
            <w:tcW w:type="dxa" w:w="1234"/>
          </w:tcPr>
          <w:p>
            <w:r>
              <w:t>Provisions regarding 'Aggregate liability cap defined': Supplier's aggregate liability for repair or replacement of defective equipment under this Article shall not exceed ten percent (10%) of the total Purchase Order value.</w:t>
            </w:r>
          </w:p>
        </w:tc>
        <w:tc>
          <w:tcPr>
            <w:tcW w:type="dxa" w:w="1234"/>
          </w:tcPr>
          <w:p>
            <w:r>
              <w:t>Met</w:t>
            </w:r>
          </w:p>
        </w:tc>
        <w:tc>
          <w:tcPr>
            <w:tcW w:type="dxa" w:w="1234"/>
          </w:tcPr>
          <w:p>
            <w:r>
              <w:t>Supplier's aggregate liability for repair</w:t>
              <w:br/>
              <w:t>or replacement of defective equipment under this Article shall not exceed ten percent (10%) of the total Purchase Order value.</w:t>
            </w:r>
          </w:p>
        </w:tc>
        <w:tc>
          <w:tcPr>
            <w:tcW w:type="dxa" w:w="1234"/>
          </w:tcPr>
          <w:p>
            <w:r>
              <w:t>Supplier's aggregate liability for repair</w:t>
              <w:br/>
              <w:t>or replacement of defective equipment under this Article shall not exceed ten percent (10%) of the total Purchase Order value.</w:t>
            </w:r>
          </w:p>
        </w:tc>
        <w:tc>
          <w:tcPr>
            <w:tcW w:type="dxa" w:w="1234"/>
          </w:tcPr>
          <w:p>
            <w:r>
              <w:t>Efforts were made to move from uncapped liability to defined limits, though some agreements resulted in caps that exceeded the preferred 10% manufacturing standard.</w:t>
              <w:br/>
              <w:br/>
              <w:t>Historical Reference</w:t>
              <w:br/>
              <w:t>Sources:</w:t>
              <w:br/>
              <w:t>• d1.docx – Liability</w:t>
              <w:br/>
              <w:t>• d2.docx – Liability</w:t>
            </w:r>
          </w:p>
        </w:tc>
      </w:tr>
      <w:tr>
        <w:tc>
          <w:tcPr>
            <w:tcW w:type="dxa" w:w="1234"/>
          </w:tcPr>
          <w:p>
            <w:r>
              <w:t>Liability</w:t>
            </w:r>
          </w:p>
        </w:tc>
        <w:tc>
          <w:tcPr>
            <w:tcW w:type="dxa" w:w="1234"/>
          </w:tcPr>
          <w:p>
            <w:r>
              <w:t>Liability carve-outs defined</w:t>
            </w:r>
          </w:p>
        </w:tc>
        <w:tc>
          <w:tcPr>
            <w:tcW w:type="dxa" w:w="1234"/>
          </w:tcPr>
          <w:p>
            <w:r>
              <w:t>Provisions regarding 'Liability carve-outs defined': The cap in Article 00511. 1 does not apply to direct costs of emergency removal, re-installation, or temporary site stabilization if the defect creates a safety shutdown.</w:t>
            </w:r>
          </w:p>
        </w:tc>
        <w:tc>
          <w:tcPr>
            <w:tcW w:type="dxa" w:w="1234"/>
          </w:tcPr>
          <w:p>
            <w:r>
              <w:t>Partially Met</w:t>
            </w:r>
          </w:p>
        </w:tc>
        <w:tc>
          <w:tcPr>
            <w:tcW w:type="dxa" w:w="1234"/>
          </w:tcPr>
          <w:p>
            <w:r>
              <w:t>The cap in Article 00511.8.1 does not apply to direct costs of emergency removal, re-installation, or</w:t>
              <w:br/>
              <w:t>temporary site stabilization if the defect creates a safety shutdown.</w:t>
            </w:r>
          </w:p>
        </w:tc>
        <w:tc>
          <w:tcPr>
            <w:tcW w:type="dxa" w:w="1234"/>
          </w:tcPr>
          <w:p>
            <w:r>
              <w:t>Clause contains material limitations, exceptions, carve-outs, conditions, or restricted applicability</w:t>
            </w:r>
          </w:p>
        </w:tc>
        <w:tc>
          <w:tcPr>
            <w:tcW w:type="dxa" w:w="1234"/>
          </w:tcPr>
          <w:p>
            <w:r>
              <w:t>Negotiations focused on limiting carve-outs to intellectual property indemnities and removing open-ended exclusions for safety shutdowns.</w:t>
              <w:br/>
              <w:br/>
              <w:t>Historical Reference</w:t>
              <w:br/>
              <w:t>Source:</w:t>
              <w:br/>
              <w:t>d1.docx</w:t>
              <w:br/>
              <w:t>Clause: Liability</w:t>
              <w:br/>
              <w:t>Requirement: Liability carve-outs defined</w:t>
              <w:br/>
              <w:br/>
              <w:t>Quote:</w:t>
              <w:br/>
              <w:t>"Reduced exposure profiles achieved by removing open-ended safety shutdown exclusions from original drafts."</w:t>
            </w:r>
          </w:p>
        </w:tc>
      </w:tr>
      <w:tr>
        <w:tc>
          <w:tcPr>
            <w:tcW w:type="dxa" w:w="1234"/>
          </w:tcPr>
          <w:p>
            <w:r>
              <w:t>Consequential Damages</w:t>
            </w:r>
          </w:p>
        </w:tc>
        <w:tc>
          <w:tcPr>
            <w:tcW w:type="dxa" w:w="1234"/>
          </w:tcPr>
          <w:p>
            <w:r>
              <w:t>Consequential damages excluded</w:t>
            </w:r>
          </w:p>
        </w:tc>
        <w:tc>
          <w:tcPr>
            <w:tcW w:type="dxa" w:w="1234"/>
          </w:tcPr>
          <w:p>
            <w:r>
              <w:t>Provisions regarding 'Consequential damages excluded': Neither party shall be liable to the other for loss of revenue, loss of profit, loss of use, loss of production, downtime, loss of business opportunity, indirect damages, special damages, punitive damages, exemplary damages, or consequential damages.</w:t>
            </w:r>
          </w:p>
        </w:tc>
        <w:tc>
          <w:tcPr>
            <w:tcW w:type="dxa" w:w="1234"/>
          </w:tcPr>
          <w:p>
            <w:r>
              <w:t>Partially Met</w:t>
            </w:r>
          </w:p>
        </w:tc>
        <w:tc>
          <w:tcPr>
            <w:tcW w:type="dxa" w:w="1234"/>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234"/>
          </w:tcPr>
          <w:p>
            <w:r>
              <w:t>Clause contains material limitations, exceptions, carve-outs, conditions, or restricted applicability</w:t>
            </w:r>
          </w:p>
        </w:tc>
        <w:tc>
          <w:tcPr>
            <w:tcW w:type="dxa" w:w="1234"/>
          </w:tcPr>
          <w:p>
            <w:r>
              <w:t>Legal reviews were used to integrate absolute mutual waivers and clarify definitions to ensure both parties were protected from indirect and speculative financial losses.</w:t>
              <w:br/>
              <w:br/>
              <w:t>Historical Reference</w:t>
              <w:br/>
              <w:t>Sources:</w:t>
              <w:br/>
              <w:t>• d1.docx – Consequential Damages</w:t>
              <w:br/>
              <w:t>• d2.docx – Consequential Damages</w:t>
            </w:r>
          </w:p>
        </w:tc>
      </w:tr>
      <w:tr>
        <w:tc>
          <w:tcPr>
            <w:tcW w:type="dxa" w:w="1234"/>
          </w:tcPr>
          <w:p>
            <w:r>
              <w:t>Consequential Damages</w:t>
            </w:r>
          </w:p>
        </w:tc>
        <w:tc>
          <w:tcPr>
            <w:tcW w:type="dxa" w:w="1234"/>
          </w:tcPr>
          <w:p>
            <w:r>
              <w:t>Exceptions to exclusion defined</w:t>
            </w:r>
          </w:p>
        </w:tc>
        <w:tc>
          <w:tcPr>
            <w:tcW w:type="dxa" w:w="1234"/>
          </w:tcPr>
          <w:p>
            <w:r>
              <w:t>Provisions regarding 'Exceptions to exclusion defined': Neither party shall be liable to the other for loss of revenue, loss of profit, loss of use, loss of production, downtime, loss of business opportunity, indirect damages, special damages, punitive damages, exemplary damages, or consequential damages.</w:t>
            </w:r>
          </w:p>
        </w:tc>
        <w:tc>
          <w:tcPr>
            <w:tcW w:type="dxa" w:w="1234"/>
          </w:tcPr>
          <w:p>
            <w:r>
              <w:t>Partially Met</w:t>
            </w:r>
          </w:p>
        </w:tc>
        <w:tc>
          <w:tcPr>
            <w:tcW w:type="dxa" w:w="1234"/>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234"/>
          </w:tcPr>
          <w:p>
            <w:r>
              <w:t>Clause contains material limitations, exceptions, carve-outs, conditions, or restricted applicability</w:t>
            </w:r>
          </w:p>
        </w:tc>
        <w:tc>
          <w:tcPr>
            <w:tcW w:type="dxa" w:w="1234"/>
          </w:tcPr>
          <w:p>
            <w:r>
              <w:t>Attempts were made to establish unconditional waivers by narrowing exceptions, although some vendors successfully re-inserted exclusions for environmental compliance incidents.</w:t>
              <w:br/>
              <w:br/>
              <w:t>Historical Reference</w:t>
              <w:br/>
              <w:t>Sources:</w:t>
              <w:br/>
              <w:t>• d1.docx – Consequential Damages</w:t>
              <w:br/>
              <w:t>• d2.docx – Consequential Damages</w:t>
            </w:r>
          </w:p>
        </w:tc>
      </w:tr>
      <w:tr>
        <w:tc>
          <w:tcPr>
            <w:tcW w:type="dxa" w:w="1234"/>
          </w:tcPr>
          <w:p>
            <w:r>
              <w:t>Critical Sub-Suppliers</w:t>
            </w:r>
          </w:p>
        </w:tc>
        <w:tc>
          <w:tcPr>
            <w:tcW w:type="dxa" w:w="1234"/>
          </w:tcPr>
          <w:p>
            <w:r>
              <w:t>Approved critical vendors identified</w:t>
            </w:r>
          </w:p>
        </w:tc>
        <w:tc>
          <w:tcPr>
            <w:tcW w:type="dxa" w:w="1234"/>
          </w:tcPr>
          <w:p>
            <w:r>
              <w:t>Provisions regarding 'Approved critical vendors identified': Annex D approved critical sub-suppliers: BrightForge Rings Pvt.</w:t>
            </w:r>
          </w:p>
        </w:tc>
        <w:tc>
          <w:tcPr>
            <w:tcW w:type="dxa" w:w="1234"/>
          </w:tcPr>
          <w:p>
            <w:r>
              <w:t>Met</w:t>
            </w:r>
          </w:p>
        </w:tc>
        <w:tc>
          <w:tcPr>
            <w:tcW w:type="dxa" w:w="1234"/>
          </w:tcPr>
          <w:p>
            <w:r>
              <w:t>Annex D approved critical sub-suppliers: BrightForge Rings Pvt.</w:t>
            </w:r>
          </w:p>
        </w:tc>
        <w:tc>
          <w:tcPr>
            <w:tcW w:type="dxa" w:w="1234"/>
          </w:tcPr>
          <w:p>
            <w:r>
              <w:t>Annex D approved critical sub-suppliers: BrightForge Rings Pvt.</w:t>
            </w:r>
          </w:p>
        </w:tc>
        <w:tc>
          <w:tcPr>
            <w:tcW w:type="dxa" w:w="1234"/>
          </w:tcPr>
          <w:p>
            <w:r>
              <w:t>Compliance was improved by developing exhaustive registries of approved metallurgical suppliers and pre-clearing alternate vendor directories through quality assurance.</w:t>
              <w:br/>
              <w:br/>
              <w:t>Historical Reference</w:t>
              <w:br/>
              <w:t>Sources:</w:t>
              <w:br/>
              <w:t>• d1.docx – Critical Sub-Suppliers</w:t>
              <w:br/>
              <w:t>• d2.docx – Critical Sub-Suppliers</w:t>
            </w:r>
          </w:p>
        </w:tc>
      </w:tr>
      <w:tr>
        <w:tc>
          <w:tcPr>
            <w:tcW w:type="dxa" w:w="1234"/>
          </w:tcPr>
          <w:p>
            <w:r>
              <w:t>Critical Sub-Suppliers</w:t>
            </w:r>
          </w:p>
        </w:tc>
        <w:tc>
          <w:tcPr>
            <w:tcW w:type="dxa" w:w="1234"/>
          </w:tcPr>
          <w:p>
            <w:r>
              <w:t>Vendor substitution restrictions defined</w:t>
            </w:r>
          </w:p>
        </w:tc>
        <w:tc>
          <w:tcPr>
            <w:tcW w:type="dxa" w:w="1234"/>
          </w:tcPr>
          <w:p>
            <w:r>
              <w:t>Provisions regarding 'Vendor substitution restrictions defined': Annex D approved critical sub-suppliers: BrightForge Rings Pvt.</w:t>
            </w:r>
          </w:p>
        </w:tc>
        <w:tc>
          <w:tcPr>
            <w:tcW w:type="dxa" w:w="1234"/>
          </w:tcPr>
          <w:p>
            <w:r>
              <w:t>Met</w:t>
            </w:r>
          </w:p>
        </w:tc>
        <w:tc>
          <w:tcPr>
            <w:tcW w:type="dxa" w:w="1234"/>
          </w:tcPr>
          <w:p>
            <w:r>
              <w:t>Annex D approved critical sub-suppliers: BrightForge Rings Pvt.</w:t>
            </w:r>
          </w:p>
        </w:tc>
        <w:tc>
          <w:tcPr>
            <w:tcW w:type="dxa" w:w="1234"/>
          </w:tcPr>
          <w:p>
            <w:r>
              <w:t>Annex D approved critical sub-suppliers: BrightForge Rings Pvt.</w:t>
            </w:r>
          </w:p>
        </w:tc>
        <w:tc>
          <w:tcPr>
            <w:tcW w:type="dxa" w:w="1234"/>
          </w:tcPr>
          <w:p>
            <w:r>
              <w:t>Issues regarding unauthorized vendor substitutions were flagged by internal audit, leading to remediation strategies and the pausing of operations for engineering verification.</w:t>
              <w:br/>
              <w:br/>
              <w:t>Historical Reference</w:t>
              <w:br/>
              <w:t>Source:</w:t>
              <w:br/>
              <w:t>d1.docx</w:t>
              <w:br/>
              <w:t>Clause: Critical Sub-Suppliers</w:t>
              <w:br/>
              <w:t>Requirement: Vendor substitution restrictions defined</w:t>
              <w:br/>
              <w:br/>
              <w:t>Quote:</w:t>
              <w:br/>
              <w:t>"Unauthorized substitution risks flagged by internal audit; remediation strategy currently under review."</w:t>
            </w:r>
          </w:p>
        </w:tc>
      </w:tr>
    </w:tbl>
    <w:p>
      <w:r>
        <w:br w:type="page"/>
      </w:r>
    </w:p>
    <w:p>
      <w:pPr>
        <w:pStyle w:val="Heading2"/>
      </w:pPr>
      <w:r>
        <w:t>Table 2 - Risk Assessment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RAG</w:t>
            </w:r>
          </w:p>
        </w:tc>
        <w:tc>
          <w:tcPr>
            <w:tcW w:type="dxa" w:w="1440"/>
          </w:tcPr>
          <w:p>
            <w:r>
              <w:t>Risk</w:t>
            </w:r>
          </w:p>
        </w:tc>
        <w:tc>
          <w:tcPr>
            <w:tcW w:type="dxa" w:w="1440"/>
          </w:tcPr>
          <w:p>
            <w:r>
              <w:t>Rationale</w:t>
            </w:r>
          </w:p>
        </w:tc>
        <w:tc>
          <w:tcPr>
            <w:tcW w:type="dxa" w:w="1440"/>
          </w:tcPr>
          <w:p>
            <w:r>
              <w:t>Mitigation</w:t>
            </w:r>
          </w:p>
        </w:tc>
      </w:tr>
      <w:tr>
        <w:tc>
          <w:tcPr>
            <w:tcW w:type="dxa" w:w="1440"/>
          </w:tcPr>
          <w:p>
            <w:r>
              <w:t>Payment Terms</w:t>
            </w:r>
          </w:p>
        </w:tc>
        <w:tc>
          <w:tcPr>
            <w:tcW w:type="dxa" w:w="1440"/>
          </w:tcPr>
          <w:p>
            <w:r>
              <w:t>45% Minimum Advance</w:t>
            </w:r>
          </w:p>
        </w:tc>
        <w:tc>
          <w:tcPr>
            <w:tcW w:type="dxa" w:w="1440"/>
          </w:tcPr>
          <w:p>
            <w:r>
              <w:t>Amber</w:t>
            </w:r>
          </w:p>
        </w:tc>
        <w:tc>
          <w:tcPr>
            <w:tcW w:type="dxa" w:w="1440"/>
          </w:tcPr>
          <w:p>
            <w:r>
              <w:t>Cash-flow risk and delayed advance payment</w:t>
            </w:r>
          </w:p>
        </w:tc>
        <w:tc>
          <w:tcPr>
            <w:tcW w:type="dxa" w:w="1440"/>
          </w:tcPr>
          <w:p>
            <w:r>
              <w:t>The 45% advance is split into two tranches. The second 15% tranche is conditional upon the delivery of a performance bank guarantee, signed kick-off minutes, and a document submission register. The Buyer possesses a discretionary right to defer this payment without interest if conditions are not met within 20 days, creating a dependency that delays full liquidity for the Supplier.</w:t>
            </w:r>
          </w:p>
        </w:tc>
        <w:tc>
          <w:tcPr>
            <w:tcW w:type="dxa" w:w="1440"/>
          </w:tcPr>
          <w:p>
            <w:r>
              <w:t>Ensure the full 45% advance is payable in a single installment upon PO acknowledgement and furnishing of Annex B documents.</w:t>
            </w:r>
          </w:p>
        </w:tc>
      </w:tr>
      <w:tr>
        <w:tc>
          <w:tcPr>
            <w:tcW w:type="dxa" w:w="1440"/>
          </w:tcPr>
          <w:p>
            <w:r>
              <w:t>Payment Terms</w:t>
            </w:r>
          </w:p>
        </w:tc>
        <w:tc>
          <w:tcPr>
            <w:tcW w:type="dxa" w:w="1440"/>
          </w:tcPr>
          <w:p>
            <w:r>
              <w:t>All payments Net 30 days from invoice</w:t>
            </w:r>
          </w:p>
        </w:tc>
        <w:tc>
          <w:tcPr>
            <w:tcW w:type="dxa" w:w="1440"/>
          </w:tcPr>
          <w:p>
            <w:r>
              <w:t>Amber</w:t>
            </w:r>
          </w:p>
        </w:tc>
        <w:tc>
          <w:tcPr>
            <w:tcW w:type="dxa" w:w="1440"/>
          </w:tcPr>
          <w:p>
            <w:r>
              <w:t>Cash-flow risk and payment deferral exposure</w:t>
            </w:r>
          </w:p>
        </w:tc>
        <w:tc>
          <w:tcPr>
            <w:tcW w:type="dxa" w:w="1440"/>
          </w:tcPr>
          <w:p>
            <w:r>
              <w:t>Payment is conditional upon internal Buyer system records rather than invoice receipt. This creates a dependency on Buyer administrative processes, allowing the 30-day payment clock to be deferred indefinitely until goods receipt, inspection, and reconciliation are completed, delaying cash inflows.</w:t>
            </w:r>
          </w:p>
        </w:tc>
        <w:tc>
          <w:tcPr>
            <w:tcW w:type="dxa" w:w="1440"/>
          </w:tcPr>
          <w:p>
            <w:r>
              <w:t>Set payment terms to Net 30 days from invoice receipt and remove conditional dependencies on internal Buyer system records.</w:t>
            </w:r>
          </w:p>
        </w:tc>
      </w:tr>
      <w:tr>
        <w:tc>
          <w:tcPr>
            <w:tcW w:type="dxa" w:w="1440"/>
          </w:tcPr>
          <w:p>
            <w:r>
              <w:t>Bank Guarantees</w:t>
            </w:r>
          </w:p>
        </w:tc>
        <w:tc>
          <w:tcPr>
            <w:tcW w:type="dxa" w:w="1440"/>
          </w:tcPr>
          <w:p>
            <w:r>
              <w:t>Performance Guarantee not exceeding 10%</w:t>
            </w:r>
          </w:p>
        </w:tc>
        <w:tc>
          <w:tcPr>
            <w:tcW w:type="dxa" w:w="1440"/>
          </w:tcPr>
          <w:p>
            <w:r>
              <w:t>Red</w:t>
            </w:r>
          </w:p>
        </w:tc>
        <w:tc>
          <w:tcPr>
            <w:tcW w:type="dxa" w:w="1440"/>
          </w:tcPr>
          <w:p>
            <w:r>
              <w:t>Financial exposure and guarantee risk</w:t>
            </w:r>
          </w:p>
        </w:tc>
        <w:tc>
          <w:tcPr>
            <w:tcW w:type="dxa" w:w="1440"/>
          </w:tcPr>
          <w:p>
            <w:r>
              <w:t>The total security obligations are 12 percent, exceeding the 10 percent maximum requirement. This is caused by the cumulative effect of the 10 percent performance guarantee and the 2 percent bridge guarantee. This creates excessive financial burden and liquidity constraints for the supplier.</w:t>
            </w:r>
          </w:p>
        </w:tc>
        <w:tc>
          <w:tcPr>
            <w:tcW w:type="dxa" w:w="1440"/>
          </w:tcPr>
          <w:p>
            <w:r>
              <w:t>Reduce total performance security to a maximum of 10 percent including bridge guarantees.</w:t>
            </w:r>
          </w:p>
        </w:tc>
      </w:tr>
      <w:tr>
        <w:tc>
          <w:tcPr>
            <w:tcW w:type="dxa" w:w="1440"/>
          </w:tcPr>
          <w:p>
            <w:r>
              <w:t>Liquidated Damages</w:t>
            </w:r>
          </w:p>
        </w:tc>
        <w:tc>
          <w:tcPr>
            <w:tcW w:type="dxa" w:w="1440"/>
          </w:tcPr>
          <w:p>
            <w:r>
              <w:t>Documentation LD not applicable</w:t>
            </w:r>
          </w:p>
        </w:tc>
        <w:tc>
          <w:tcPr>
            <w:tcW w:type="dxa" w:w="1440"/>
          </w:tcPr>
          <w:p>
            <w:r>
              <w:t>Amber</w:t>
            </w:r>
          </w:p>
        </w:tc>
        <w:tc>
          <w:tcPr>
            <w:tcW w:type="dxa" w:w="1440"/>
          </w:tcPr>
          <w:p>
            <w:r>
              <w:t>Financial exposure due to limited liquidated damages recovery</w:t>
            </w:r>
          </w:p>
        </w:tc>
        <w:tc>
          <w:tcPr>
            <w:tcW w:type="dxa" w:w="1440"/>
          </w:tcPr>
          <w:p>
            <w:r>
              <w:t>The clause excludes standalone LDs for documentation and engineering submittals unless they are Critical Dispatch Documents. Additionally, a 5 percent cap on equipment delivery LDs and a 7.5 percent aggregate cap limit the total recoverable damages, reducing the financial incentive for the supplier to maintain the schedule.</w:t>
            </w:r>
          </w:p>
        </w:tc>
        <w:tc>
          <w:tcPr>
            <w:tcW w:type="dxa" w:w="1440"/>
          </w:tcPr>
          <w:p>
            <w:r>
              <w:t>Remove standalone exclusions for documentation delays and increase the aggregate LD cap to align with total project risk exposure.</w:t>
            </w:r>
          </w:p>
        </w:tc>
      </w:tr>
      <w:tr>
        <w:tc>
          <w:tcPr>
            <w:tcW w:type="dxa" w:w="1440"/>
          </w:tcPr>
          <w:p>
            <w:r>
              <w:t>Liquidated Damages</w:t>
            </w:r>
          </w:p>
        </w:tc>
        <w:tc>
          <w:tcPr>
            <w:tcW w:type="dxa" w:w="1440"/>
          </w:tcPr>
          <w:p>
            <w:r>
              <w:t>Equipment Delivery LD 0.5% per week</w:t>
            </w:r>
          </w:p>
        </w:tc>
        <w:tc>
          <w:tcPr>
            <w:tcW w:type="dxa" w:w="1440"/>
          </w:tcPr>
          <w:p>
            <w:r>
              <w:t>Amber</w:t>
            </w:r>
          </w:p>
        </w:tc>
        <w:tc>
          <w:tcPr>
            <w:tcW w:type="dxa" w:w="1440"/>
          </w:tcPr>
          <w:p>
            <w:r>
              <w:t>Financial exposure due to liquidated damages caps</w:t>
            </w:r>
          </w:p>
        </w:tc>
        <w:tc>
          <w:tcPr>
            <w:tcW w:type="dxa" w:w="1440"/>
          </w:tcPr>
          <w:p>
            <w:r>
              <w:t>The clause imposes a 5 percent cap on individual equipment delivery LDs and an aggregate cap of 7.5 percent of the total PO value. These limits restrict the buyer's ability to recover full losses resulting from extended delivery delays beyond these thresholds.</w:t>
            </w:r>
          </w:p>
        </w:tc>
        <w:tc>
          <w:tcPr>
            <w:tcW w:type="dxa" w:w="1440"/>
          </w:tcPr>
          <w:p>
            <w:r>
              <w:t>Remove the 5 percent per part cap and increase the aggregate delay exposure cap to align with total potential project loss.</w:t>
            </w:r>
          </w:p>
        </w:tc>
      </w:tr>
      <w:tr>
        <w:tc>
          <w:tcPr>
            <w:tcW w:type="dxa" w:w="1440"/>
          </w:tcPr>
          <w:p>
            <w:r>
              <w:t>Liquidated Damages</w:t>
            </w:r>
          </w:p>
        </w:tc>
        <w:tc>
          <w:tcPr>
            <w:tcW w:type="dxa" w:w="1440"/>
          </w:tcPr>
          <w:p>
            <w:r>
              <w:t>Equipment Delivery LD capped at 5%</w:t>
            </w:r>
          </w:p>
        </w:tc>
        <w:tc>
          <w:tcPr>
            <w:tcW w:type="dxa" w:w="1440"/>
          </w:tcPr>
          <w:p>
            <w:r>
              <w:t>Amber</w:t>
            </w:r>
          </w:p>
        </w:tc>
        <w:tc>
          <w:tcPr>
            <w:tcW w:type="dxa" w:w="1440"/>
          </w:tcPr>
          <w:p>
            <w:r>
              <w:t>Financial exposure due to increased aggregate liquidated damages cap</w:t>
            </w:r>
          </w:p>
        </w:tc>
        <w:tc>
          <w:tcPr>
            <w:tcW w:type="dxa" w:w="1440"/>
          </w:tcPr>
          <w:p>
            <w:r>
              <w:t>While individual equipment delivery LD is capped at 5 percent, clause 00511.5.4 establishes an aggregate cap of 7.5 percent of the total Purchase Order value. This exceeds the required 5 percent limit, increasing the total financial penalty exposure for the supplier.</w:t>
            </w:r>
          </w:p>
        </w:tc>
        <w:tc>
          <w:tcPr>
            <w:tcW w:type="dxa" w:w="1440"/>
          </w:tcPr>
          <w:p>
            <w:r>
              <w:t>Reduce the aggregate delay exposure cap to a maximum of 5 percent of the total Purchase Order value.</w:t>
            </w:r>
          </w:p>
        </w:tc>
      </w:tr>
      <w:tr>
        <w:tc>
          <w:tcPr>
            <w:tcW w:type="dxa" w:w="1440"/>
          </w:tcPr>
          <w:p>
            <w:r>
              <w:t>Liquidated Damages</w:t>
            </w:r>
          </w:p>
        </w:tc>
        <w:tc>
          <w:tcPr>
            <w:tcW w:type="dxa" w:w="1440"/>
          </w:tcPr>
          <w:p>
            <w:r>
              <w:t>Aggregate LD capped at 5% PO value</w:t>
            </w:r>
          </w:p>
        </w:tc>
        <w:tc>
          <w:tcPr>
            <w:tcW w:type="dxa" w:w="1440"/>
          </w:tcPr>
          <w:p>
            <w:r>
              <w:t>Red</w:t>
            </w:r>
          </w:p>
        </w:tc>
        <w:tc>
          <w:tcPr>
            <w:tcW w:type="dxa" w:w="1440"/>
          </w:tcPr>
          <w:p>
            <w:r>
              <w:t>Financial exposure from excessive liquidated damages</w:t>
            </w:r>
          </w:p>
        </w:tc>
        <w:tc>
          <w:tcPr>
            <w:tcW w:type="dxa" w:w="1440"/>
          </w:tcPr>
          <w:p>
            <w:r>
              <w:t>The aggregate LD cap is set at 7.5 percent of the total PO value, which exceeds the 5 percent requirement. This increases the maximum financial penalty the supplier may incur for delivery delays and service credit failures, creating a 2.5 percent over-exposure relative to the enterprise compliance standard.</w:t>
            </w:r>
          </w:p>
        </w:tc>
        <w:tc>
          <w:tcPr>
            <w:tcW w:type="dxa" w:w="1440"/>
          </w:tcPr>
          <w:p>
            <w:r>
              <w:t>Reduce aggregate LD and service-credit exposure to a maximum of 5 percent of the total Purchase Order value.</w:t>
            </w:r>
          </w:p>
        </w:tc>
      </w:tr>
      <w:tr>
        <w:tc>
          <w:tcPr>
            <w:tcW w:type="dxa" w:w="1440"/>
          </w:tcPr>
          <w:p>
            <w:r>
              <w:t>Liquidated Damages</w:t>
            </w:r>
          </w:p>
        </w:tc>
        <w:tc>
          <w:tcPr>
            <w:tcW w:type="dxa" w:w="1440"/>
          </w:tcPr>
          <w:p>
            <w:r>
              <w:t>Remedial Work LD not applicable</w:t>
            </w:r>
          </w:p>
        </w:tc>
        <w:tc>
          <w:tcPr>
            <w:tcW w:type="dxa" w:w="1440"/>
          </w:tcPr>
          <w:p>
            <w:r>
              <w:t>Amber</w:t>
            </w:r>
          </w:p>
        </w:tc>
        <w:tc>
          <w:tcPr>
            <w:tcW w:type="dxa" w:w="1440"/>
          </w:tcPr>
          <w:p>
            <w:r>
              <w:t>Financial exposure due to excluded remedial work liquidated damages</w:t>
            </w:r>
          </w:p>
        </w:tc>
        <w:tc>
          <w:tcPr>
            <w:tcW w:type="dxa" w:w="1440"/>
          </w:tcPr>
          <w:p>
            <w:r>
              <w:t>Clause 00511.5.3 explicitly exempts remedial work, warranty repairs, and replacements from liquidated damages. This creates a financial gap where the buyer cannot recover monetary damages for delays in correcting defective equipment, limiting the supplier's incentive to prioritize timely remedial actions.</w:t>
            </w:r>
          </w:p>
        </w:tc>
        <w:tc>
          <w:tcPr>
            <w:tcW w:type="dxa" w:w="1440"/>
          </w:tcPr>
          <w:p>
            <w:r>
              <w:t>Apply liquidated damages to remedial work and warranty repairs to ensure timely correction of defects.</w:t>
            </w:r>
          </w:p>
        </w:tc>
      </w:tr>
      <w:tr>
        <w:tc>
          <w:tcPr>
            <w:tcW w:type="dxa" w:w="1440"/>
          </w:tcPr>
          <w:p>
            <w:r>
              <w:t>Guarantee</w:t>
            </w:r>
          </w:p>
        </w:tc>
        <w:tc>
          <w:tcPr>
            <w:tcW w:type="dxa" w:w="1440"/>
          </w:tcPr>
          <w:p>
            <w:r>
              <w:t>Warranty period defined</w:t>
            </w:r>
          </w:p>
        </w:tc>
        <w:tc>
          <w:tcPr>
            <w:tcW w:type="dxa" w:w="1440"/>
          </w:tcPr>
          <w:p>
            <w:r>
              <w:t>Amber</w:t>
            </w:r>
          </w:p>
        </w:tc>
        <w:tc>
          <w:tcPr>
            <w:tcW w:type="dxa" w:w="1440"/>
          </w:tcPr>
          <w:p>
            <w:r>
              <w:t>Warranty risk and limited guarantee coverage</w:t>
            </w:r>
          </w:p>
        </w:tc>
        <w:tc>
          <w:tcPr>
            <w:tcW w:type="dxa" w:w="1440"/>
          </w:tcPr>
          <w:p>
            <w:r>
              <w:t>The standard guarantee is limited to only two months post-commissioning. Furthermore, the remedial guarantee is capped by the original dispatch date, potentially expiring before the twelve month repair warranty is fulfilled. These restrictions reduce the period of supplier accountability for equipment performance and reliability.</w:t>
            </w:r>
          </w:p>
        </w:tc>
        <w:tc>
          <w:tcPr>
            <w:tcW w:type="dxa" w:w="1440"/>
          </w:tcPr>
          <w:p>
            <w:r>
              <w:t>Extend standard guarantee to twelve months post-commissioning and ensure remedial guarantees provide full twelve months coverage regardless of the original dispatch date.</w:t>
            </w:r>
          </w:p>
        </w:tc>
      </w:tr>
      <w:tr>
        <w:tc>
          <w:tcPr>
            <w:tcW w:type="dxa" w:w="1440"/>
          </w:tcPr>
          <w:p>
            <w:r>
              <w:t>Guarantee</w:t>
            </w:r>
          </w:p>
        </w:tc>
        <w:tc>
          <w:tcPr>
            <w:tcW w:type="dxa" w:w="1440"/>
          </w:tcPr>
          <w:p>
            <w:r>
              <w:t>2 months from commissioning or 18 months from dispatch</w:t>
            </w:r>
          </w:p>
        </w:tc>
        <w:tc>
          <w:tcPr>
            <w:tcW w:type="dxa" w:w="1440"/>
          </w:tcPr>
          <w:p>
            <w:r>
              <w:t>Amber</w:t>
            </w:r>
          </w:p>
        </w:tc>
        <w:tc>
          <w:tcPr>
            <w:tcW w:type="dxa" w:w="1440"/>
          </w:tcPr>
          <w:p>
            <w:r>
              <w:t>Warranty risk and reduced equipment protection</w:t>
            </w:r>
          </w:p>
        </w:tc>
        <w:tc>
          <w:tcPr>
            <w:tcW w:type="dxa" w:w="1440"/>
          </w:tcPr>
          <w:p>
            <w:r>
              <w:t>The remedial guarantee for replaced components is capped by the original dispatch date. This prevents a full twelve month protection period for repairs made late in the standard warranty, creating a gap in coverage for newly installed parts.</w:t>
            </w:r>
          </w:p>
        </w:tc>
        <w:tc>
          <w:tcPr>
            <w:tcW w:type="dxa" w:w="1440"/>
          </w:tcPr>
          <w:p>
            <w:r>
              <w:t>Ensure repaired or replaced components are guaranteed for twelve months from completion of repair or replacement regardless of the original dispatch date.</w:t>
            </w:r>
          </w:p>
        </w:tc>
      </w:tr>
      <w:tr>
        <w:tc>
          <w:tcPr>
            <w:tcW w:type="dxa" w:w="1440"/>
          </w:tcPr>
          <w:p>
            <w:r>
              <w:t>Guarantee</w:t>
            </w:r>
          </w:p>
        </w:tc>
        <w:tc>
          <w:tcPr>
            <w:tcW w:type="dxa" w:w="1440"/>
          </w:tcPr>
          <w:p>
            <w:r>
              <w:t>Repair/replacement warranty obligations defined</w:t>
            </w:r>
          </w:p>
        </w:tc>
        <w:tc>
          <w:tcPr>
            <w:tcW w:type="dxa" w:w="1440"/>
          </w:tcPr>
          <w:p>
            <w:r>
              <w:t>Amber</w:t>
            </w:r>
          </w:p>
        </w:tc>
        <w:tc>
          <w:tcPr>
            <w:tcW w:type="dxa" w:w="1440"/>
          </w:tcPr>
          <w:p>
            <w:r>
              <w:t>Warranty risk and financial exposure</w:t>
            </w:r>
          </w:p>
        </w:tc>
        <w:tc>
          <w:tcPr>
            <w:tcW w:type="dxa" w:w="1440"/>
          </w:tcPr>
          <w:p>
            <w:r>
              <w:t>The remedial guarantee is limited by a hard stop at 18 months from original dispatch. This creates a gap where a component replaced late in the primary warranty may only have negligible remaining coverage, forcing the buyer to fund repairs for components that failed shortly after replacement.</w:t>
            </w:r>
          </w:p>
        </w:tc>
        <w:tc>
          <w:tcPr>
            <w:tcW w:type="dxa" w:w="1440"/>
          </w:tcPr>
          <w:p>
            <w:r>
              <w:t>Ensure repaired or replaced components are guaranteed for twelve months from completion of repair or replacement regardless of the original dispatch date.</w:t>
            </w:r>
          </w:p>
        </w:tc>
      </w:tr>
      <w:tr>
        <w:tc>
          <w:tcPr>
            <w:tcW w:type="dxa" w:w="1440"/>
          </w:tcPr>
          <w:p>
            <w:r>
              <w:t>Force Majeure</w:t>
            </w:r>
          </w:p>
        </w:tc>
        <w:tc>
          <w:tcPr>
            <w:tcW w:type="dxa" w:w="1440"/>
          </w:tcPr>
          <w:p>
            <w:r>
              <w:t>Force majeure events defined</w:t>
            </w:r>
          </w:p>
        </w:tc>
        <w:tc>
          <w:tcPr>
            <w:tcW w:type="dxa" w:w="1440"/>
          </w:tcPr>
          <w:p>
            <w:r>
              <w:t>Amber</w:t>
            </w:r>
          </w:p>
        </w:tc>
        <w:tc>
          <w:tcPr>
            <w:tcW w:type="dxa" w:w="1440"/>
          </w:tcPr>
          <w:p>
            <w:r>
              <w:t>Force majeure limitations</w:t>
            </w:r>
          </w:p>
        </w:tc>
        <w:tc>
          <w:tcPr>
            <w:tcW w:type="dxa" w:w="1440"/>
          </w:tcPr>
          <w:p>
            <w:r>
              <w:t>Relief for supply chain disruptions is restricted exclusively to named Tier-1 sub-suppliers in Annex D and approved logistics carriers. This creates operational and legal exposure as the Supplier cannot claim Force Majeure for disruptions involving unnamed sub-contractors or alternate vendors, regardless of whether the event was beyond their reasonable control.</w:t>
            </w:r>
          </w:p>
        </w:tc>
        <w:tc>
          <w:tcPr>
            <w:tcW w:type="dxa" w:w="1440"/>
          </w:tcPr>
          <w:p>
            <w:r>
              <w:t>Extend Force Majeure relief to all sub-contractors and vendors regardless of their naming in Annex D provided the event satisfies the general Force Majeure definition.</w:t>
            </w:r>
          </w:p>
        </w:tc>
      </w:tr>
      <w:tr>
        <w:tc>
          <w:tcPr>
            <w:tcW w:type="dxa" w:w="1440"/>
          </w:tcPr>
          <w:p>
            <w:r>
              <w:t>Force Majeure</w:t>
            </w:r>
          </w:p>
        </w:tc>
        <w:tc>
          <w:tcPr>
            <w:tcW w:type="dxa" w:w="1440"/>
          </w:tcPr>
          <w:p>
            <w:r>
              <w:t>Applies to subcontractors</w:t>
            </w:r>
          </w:p>
        </w:tc>
        <w:tc>
          <w:tcPr>
            <w:tcW w:type="dxa" w:w="1440"/>
          </w:tcPr>
          <w:p>
            <w:r>
              <w:t>Amber</w:t>
            </w:r>
          </w:p>
        </w:tc>
        <w:tc>
          <w:tcPr>
            <w:tcW w:type="dxa" w:w="1440"/>
          </w:tcPr>
          <w:p>
            <w:r>
              <w:t>force majeure limitations</w:t>
            </w:r>
          </w:p>
        </w:tc>
        <w:tc>
          <w:tcPr>
            <w:tcW w:type="dxa" w:w="1440"/>
          </w:tcPr>
          <w:p>
            <w:r>
              <w:t>Force majeure relief is restricted to named Tier-1 critical sub-suppliers and approved logistics carriers. This excludes unnamed subcontractors and alternate vendors, creating a gap where the supplier remains liable for performance failures caused by events beyond their control if those events occur within their broader supply chain.</w:t>
            </w:r>
          </w:p>
        </w:tc>
        <w:tc>
          <w:tcPr>
            <w:tcW w:type="dxa" w:w="1440"/>
          </w:tcPr>
          <w:p>
            <w:r>
              <w:t>Extend force majeure relief to all subcontractors and vendors regardless of their tier or naming in Annex D.</w:t>
            </w:r>
          </w:p>
        </w:tc>
      </w:tr>
      <w:tr>
        <w:tc>
          <w:tcPr>
            <w:tcW w:type="dxa" w:w="1440"/>
          </w:tcPr>
          <w:p>
            <w:r>
              <w:t>Force Majeure</w:t>
            </w:r>
          </w:p>
        </w:tc>
        <w:tc>
          <w:tcPr>
            <w:tcW w:type="dxa" w:w="1440"/>
          </w:tcPr>
          <w:p>
            <w:r>
              <w:t>Notice obligations defined</w:t>
            </w:r>
          </w:p>
        </w:tc>
        <w:tc>
          <w:tcPr>
            <w:tcW w:type="dxa" w:w="1440"/>
          </w:tcPr>
          <w:p>
            <w:r>
              <w:t>Amber</w:t>
            </w:r>
          </w:p>
        </w:tc>
        <w:tc>
          <w:tcPr>
            <w:tcW w:type="dxa" w:w="1440"/>
          </w:tcPr>
          <w:p>
            <w:r>
              <w:t>Force majeure limitations</w:t>
            </w:r>
          </w:p>
        </w:tc>
        <w:tc>
          <w:tcPr>
            <w:tcW w:type="dxa" w:w="1440"/>
          </w:tcPr>
          <w:p>
            <w:r>
              <w:t>Relief for supply chain disruptions is restricted exclusively to Tier-1 critical sub-suppliers in Annex D and the approved logistics carrier. This creates operational and legal exposure because the supplier cannot claim force majeure for disruptions involving unnamed sub-contractors or alternate vendors, potentially leading to breach of contract disputes during systemic supply chain failures.</w:t>
            </w:r>
          </w:p>
        </w:tc>
        <w:tc>
          <w:tcPr>
            <w:tcW w:type="dxa" w:w="1440"/>
          </w:tcPr>
          <w:p>
            <w:r>
              <w:t>Expand force majeure relief to include all sub-contractors and logistics providers regardless of their designation in Annex D.</w:t>
            </w:r>
          </w:p>
        </w:tc>
      </w:tr>
      <w:tr>
        <w:tc>
          <w:tcPr>
            <w:tcW w:type="dxa" w:w="1440"/>
          </w:tcPr>
          <w:p>
            <w:r>
              <w:t>Termination</w:t>
            </w:r>
          </w:p>
        </w:tc>
        <w:tc>
          <w:tcPr>
            <w:tcW w:type="dxa" w:w="1440"/>
          </w:tcPr>
          <w:p>
            <w:r>
              <w:t>Termination rights defined</w:t>
            </w:r>
          </w:p>
        </w:tc>
        <w:tc>
          <w:tcPr>
            <w:tcW w:type="dxa" w:w="1440"/>
          </w:tcPr>
          <w:p>
            <w:r>
              <w:t>Green</w:t>
            </w:r>
          </w:p>
        </w:tc>
        <w:tc>
          <w:tcPr>
            <w:tcW w:type="dxa" w:w="1440"/>
          </w:tcPr>
          <w:p>
            <w:r>
              <w:t>Financial exposure via sliding scale termination fees</w:t>
            </w:r>
          </w:p>
        </w:tc>
        <w:tc>
          <w:tcPr>
            <w:tcW w:type="dxa" w:w="1440"/>
          </w:tcPr>
          <w:p>
            <w:r>
              <w:t>The termination for convenience clause imposes a tiered payment obligation that reaches 100 percent of the undelivered balance after 181 days. This creates a significant financial liability regardless of the Suppliers actual costs incurred, effectively transforming a convenience cancellation into a full purchase obligation.</w:t>
            </w:r>
          </w:p>
        </w:tc>
        <w:tc>
          <w:tcPr>
            <w:tcW w:type="dxa" w:w="1440"/>
          </w:tcPr>
          <w:p>
            <w:r>
              <w:t>Limit termination for convenience payments to documented actual costs incurred and proven non-cancelable commitments rather than a fixed percentage of order value.</w:t>
            </w:r>
          </w:p>
        </w:tc>
      </w:tr>
      <w:tr>
        <w:tc>
          <w:tcPr>
            <w:tcW w:type="dxa" w:w="1440"/>
          </w:tcPr>
          <w:p>
            <w:r>
              <w:t>Termination</w:t>
            </w:r>
          </w:p>
        </w:tc>
        <w:tc>
          <w:tcPr>
            <w:tcW w:type="dxa" w:w="1440"/>
          </w:tcPr>
          <w:p>
            <w:r>
              <w:t>Cancellation fee structure defined</w:t>
            </w:r>
          </w:p>
        </w:tc>
        <w:tc>
          <w:tcPr>
            <w:tcW w:type="dxa" w:w="1440"/>
          </w:tcPr>
          <w:p>
            <w:r>
              <w:t>Green</w:t>
            </w:r>
          </w:p>
        </w:tc>
        <w:tc>
          <w:tcPr>
            <w:tcW w:type="dxa" w:w="1440"/>
          </w:tcPr>
          <w:p>
            <w:r>
              <w:t>High financial termination exposure</w:t>
            </w:r>
          </w:p>
        </w:tc>
        <w:tc>
          <w:tcPr>
            <w:tcW w:type="dxa" w:w="1440"/>
          </w:tcPr>
          <w:p>
            <w:r>
              <w:t>The sliding scale imposes steep cancellation fees reaching 100 percent of the undelivered balance after 181 days. This creates significant financial liability for convenience terminations regardless of the supplier actual costs incurred.</w:t>
            </w:r>
          </w:p>
        </w:tc>
        <w:tc>
          <w:tcPr>
            <w:tcW w:type="dxa" w:w="1440"/>
          </w:tcPr>
          <w:p>
            <w:r>
              <w:t>Replace the percentage-based fee schedule with a reimbursement model limited to documented, non-cancelable costs and reasonable wind-down expenses.</w:t>
            </w:r>
          </w:p>
        </w:tc>
      </w:tr>
      <w:tr>
        <w:tc>
          <w:tcPr>
            <w:tcW w:type="dxa" w:w="1440"/>
          </w:tcPr>
          <w:p>
            <w:r>
              <w:t>Termination</w:t>
            </w:r>
          </w:p>
        </w:tc>
        <w:tc>
          <w:tcPr>
            <w:tcW w:type="dxa" w:w="1440"/>
          </w:tcPr>
          <w:p>
            <w:r>
              <w:t>61-90 day cancellation fee 40%</w:t>
            </w:r>
          </w:p>
        </w:tc>
        <w:tc>
          <w:tcPr>
            <w:tcW w:type="dxa" w:w="1440"/>
          </w:tcPr>
          <w:p>
            <w:r>
              <w:t>Red</w:t>
            </w:r>
          </w:p>
        </w:tc>
        <w:tc>
          <w:tcPr>
            <w:tcW w:type="dxa" w:w="1440"/>
          </w:tcPr>
          <w:p>
            <w:r>
              <w:t>Financial exposure due to termination fee shortfall</w:t>
            </w:r>
          </w:p>
        </w:tc>
        <w:tc>
          <w:tcPr>
            <w:tcW w:type="dxa" w:w="1440"/>
          </w:tcPr>
          <w:p>
            <w:r>
              <w:t>The contract provides a 38% cancellation fee for the 61-90 day window, which is lower than the required 40%. This creates a 2% deficit in expected cost recovery for convenience cancellations within this timeframe, leading to direct financial loss on the order value.</w:t>
            </w:r>
          </w:p>
        </w:tc>
        <w:tc>
          <w:tcPr>
            <w:tcW w:type="dxa" w:w="1440"/>
          </w:tcPr>
          <w:p>
            <w:r>
              <w:t>Increase the convenience cancellation fee for the 61-90 days bracket to 40 percent of the order value.</w:t>
            </w:r>
          </w:p>
        </w:tc>
      </w:tr>
      <w:tr>
        <w:tc>
          <w:tcPr>
            <w:tcW w:type="dxa" w:w="1440"/>
          </w:tcPr>
          <w:p>
            <w:r>
              <w:t>Suspension</w:t>
            </w:r>
          </w:p>
        </w:tc>
        <w:tc>
          <w:tcPr>
            <w:tcW w:type="dxa" w:w="1440"/>
          </w:tcPr>
          <w:p>
            <w:r>
              <w:t>Maximum 2 suspensions and 30 days aggregate</w:t>
            </w:r>
          </w:p>
        </w:tc>
        <w:tc>
          <w:tcPr>
            <w:tcW w:type="dxa" w:w="1440"/>
          </w:tcPr>
          <w:p>
            <w:r>
              <w:t>Amber</w:t>
            </w:r>
          </w:p>
        </w:tc>
        <w:tc>
          <w:tcPr>
            <w:tcW w:type="dxa" w:w="1440"/>
          </w:tcPr>
          <w:p>
            <w:r>
              <w:t>Suspension risks and financial exposure</w:t>
            </w:r>
          </w:p>
        </w:tc>
        <w:tc>
          <w:tcPr>
            <w:tcW w:type="dxa" w:w="1440"/>
          </w:tcPr>
          <w:p>
            <w:r>
              <w:t>The exclusion of regulatory, government, legal, and safety stoppages from the suspension limit allows the Buyer to impose indefinite delays without triggering compensable change order protections. This creates operational constraints and unrecoverable costs for the Supplier since these specific stoppage categories do not count toward the 30-day aggregate limit.</w:t>
            </w:r>
          </w:p>
        </w:tc>
        <w:tc>
          <w:tcPr>
            <w:tcW w:type="dxa" w:w="1440"/>
          </w:tcPr>
          <w:p>
            <w:r>
              <w:t>Include regulatory, government, legal, and safety stoppages within the aggregate suspension limit and the criteria for compensable change orders.</w:t>
            </w:r>
          </w:p>
        </w:tc>
      </w:tr>
      <w:tr>
        <w:tc>
          <w:tcPr>
            <w:tcW w:type="dxa" w:w="1440"/>
          </w:tcPr>
          <w:p>
            <w:r>
              <w:t>Suspension</w:t>
            </w:r>
          </w:p>
        </w:tc>
        <w:tc>
          <w:tcPr>
            <w:tcW w:type="dxa" w:w="1440"/>
          </w:tcPr>
          <w:p>
            <w:r>
              <w:t>Supplier obligations during suspension defined</w:t>
            </w:r>
          </w:p>
        </w:tc>
        <w:tc>
          <w:tcPr>
            <w:tcW w:type="dxa" w:w="1440"/>
          </w:tcPr>
          <w:p>
            <w:r>
              <w:t>Green</w:t>
            </w:r>
          </w:p>
        </w:tc>
        <w:tc>
          <w:tcPr>
            <w:tcW w:type="dxa" w:w="1440"/>
          </w:tcPr>
          <w:p>
            <w:r>
              <w:t>Financial and operational suspension risk</w:t>
            </w:r>
          </w:p>
        </w:tc>
        <w:tc>
          <w:tcPr>
            <w:tcW w:type="dxa" w:w="1440"/>
          </w:tcPr>
          <w:p>
            <w:r>
              <w:t>The clause allows Buyer to suspend work for commercial convenience. While limits exist, excess suspensions trigger compensable change orders for storage and remobilization. Furthermore, the five business day restart requirement is conditional upon material and resource availability, creating operational uncertainty and potential schedule delays during restart.</w:t>
            </w:r>
          </w:p>
        </w:tc>
        <w:tc>
          <w:tcPr>
            <w:tcW w:type="dxa" w:w="1440"/>
          </w:tcPr>
          <w:p>
            <w:r>
              <w:t>Define specific compensation rates for excess suspensions and remove the material and resource availability condition from the restart notice obligation.</w:t>
            </w:r>
          </w:p>
        </w:tc>
      </w:tr>
      <w:tr>
        <w:tc>
          <w:tcPr>
            <w:tcW w:type="dxa" w:w="1440"/>
          </w:tcPr>
          <w:p>
            <w:r>
              <w:t>Governing Law</w:t>
            </w:r>
          </w:p>
        </w:tc>
        <w:tc>
          <w:tcPr>
            <w:tcW w:type="dxa" w:w="1440"/>
          </w:tcPr>
          <w:p>
            <w:r>
              <w:t>Applicable law specified</w:t>
            </w:r>
          </w:p>
        </w:tc>
        <w:tc>
          <w:tcPr>
            <w:tcW w:type="dxa" w:w="1440"/>
          </w:tcPr>
          <w:p>
            <w:r>
              <w:t>Amber</w:t>
            </w:r>
          </w:p>
        </w:tc>
        <w:tc>
          <w:tcPr>
            <w:tcW w:type="dxa" w:w="1440"/>
          </w:tcPr>
          <w:p>
            <w:r>
              <w:t>Legal exposure due to fragmented dispute resolution forums</w:t>
            </w:r>
          </w:p>
        </w:tc>
        <w:tc>
          <w:tcPr>
            <w:tcW w:type="dxa" w:w="1440"/>
          </w:tcPr>
          <w:p>
            <w:r>
              <w:t>The clause splits jurisdiction between Indian law, Singapore arbitration for specific commercial disputes, and Mumbai courts for interim or specific proceedings. This fragmentation creates conflicting legal standards and increases the risk of parallel proceedings across different jurisdictions, leading to higher legal costs and inconsistent judgments.</w:t>
            </w:r>
          </w:p>
        </w:tc>
        <w:tc>
          <w:tcPr>
            <w:tcW w:type="dxa" w:w="1440"/>
          </w:tcPr>
          <w:p>
            <w:r>
              <w:t>Consolidate governing law and all dispute resolution proceedings into a single jurisdiction and forum to eliminate forum shopping and conflicting rulings.</w:t>
            </w:r>
          </w:p>
        </w:tc>
      </w:tr>
      <w:tr>
        <w:tc>
          <w:tcPr>
            <w:tcW w:type="dxa" w:w="1440"/>
          </w:tcPr>
          <w:p>
            <w:r>
              <w:t>Dispute Resolution</w:t>
            </w:r>
          </w:p>
        </w:tc>
        <w:tc>
          <w:tcPr>
            <w:tcW w:type="dxa" w:w="1440"/>
          </w:tcPr>
          <w:p>
            <w:r>
              <w:t>Arbitration mechanism defined</w:t>
            </w:r>
          </w:p>
        </w:tc>
        <w:tc>
          <w:tcPr>
            <w:tcW w:type="dxa" w:w="1440"/>
          </w:tcPr>
          <w:p>
            <w:r>
              <w:t>Green</w:t>
            </w:r>
          </w:p>
        </w:tc>
        <w:tc>
          <w:tcPr>
            <w:tcW w:type="dxa" w:w="1440"/>
          </w:tcPr>
          <w:p>
            <w:r>
              <w:t>Arbitration limitations and multi-tiered dispute dependencies</w:t>
            </w:r>
          </w:p>
        </w:tc>
        <w:tc>
          <w:tcPr>
            <w:tcW w:type="dxa" w:w="1440"/>
          </w:tcPr>
          <w:p>
            <w:r>
              <w:t>The clause imposes a mandatory preliminary technical expert review in Mumbai for laboratory methodology disputes before Singapore arbitration can be accessed. This creates a procedural dependency and potential delay in resolving technical disputes, restricting immediate access to the primary arbitration venue.</w:t>
            </w:r>
          </w:p>
        </w:tc>
        <w:tc>
          <w:tcPr>
            <w:tcW w:type="dxa" w:w="1440"/>
          </w:tcPr>
          <w:p>
            <w:r>
              <w:t>Remove the mandatory technical expert prerequisite and provide direct access to Singapore arbitration for all disputes including those regarding laboratory test methodology.</w:t>
            </w:r>
          </w:p>
        </w:tc>
      </w:tr>
      <w:tr>
        <w:tc>
          <w:tcPr>
            <w:tcW w:type="dxa" w:w="1440"/>
          </w:tcPr>
          <w:p>
            <w:r>
              <w:t>Dispute Resolution</w:t>
            </w:r>
          </w:p>
        </w:tc>
        <w:tc>
          <w:tcPr>
            <w:tcW w:type="dxa" w:w="1440"/>
          </w:tcPr>
          <w:p>
            <w:r>
              <w:t>Seat of arbitration specified</w:t>
            </w:r>
          </w:p>
        </w:tc>
        <w:tc>
          <w:tcPr>
            <w:tcW w:type="dxa" w:w="1440"/>
          </w:tcPr>
          <w:p>
            <w:r>
              <w:t>Green</w:t>
            </w:r>
          </w:p>
        </w:tc>
        <w:tc>
          <w:tcPr>
            <w:tcW w:type="dxa" w:w="1440"/>
          </w:tcPr>
          <w:p>
            <w:r>
              <w:t>Arbitration limitations</w:t>
            </w:r>
          </w:p>
        </w:tc>
        <w:tc>
          <w:tcPr>
            <w:tcW w:type="dxa" w:w="1440"/>
          </w:tcPr>
          <w:p>
            <w:r>
              <w:t>The clause creates a conditional dependency where legal disputes regarding laboratory test methodology must first undergo technical expert determination in Mumbai. This multi-tiered process delays access to Singapore arbitration, creating operational constraints and legal exposure through a mandatory preliminary step before formal arbitration can be initiated.</w:t>
            </w:r>
          </w:p>
        </w:tc>
        <w:tc>
          <w:tcPr>
            <w:tcW w:type="dxa" w:w="1440"/>
          </w:tcPr>
          <w:p>
            <w:r>
              <w:t>Remove the mandatory technical expert referral and provide direct access to Singapore arbitration for all disputes.</w:t>
            </w:r>
          </w:p>
        </w:tc>
      </w:tr>
      <w:tr>
        <w:tc>
          <w:tcPr>
            <w:tcW w:type="dxa" w:w="1440"/>
          </w:tcPr>
          <w:p>
            <w:r>
              <w:t>Liability</w:t>
            </w:r>
          </w:p>
        </w:tc>
        <w:tc>
          <w:tcPr>
            <w:tcW w:type="dxa" w:w="1440"/>
          </w:tcPr>
          <w:p>
            <w:r>
              <w:t>Liability carve-outs defined</w:t>
            </w:r>
          </w:p>
        </w:tc>
        <w:tc>
          <w:tcPr>
            <w:tcW w:type="dxa" w:w="1440"/>
          </w:tcPr>
          <w:p>
            <w:r>
              <w:t>Amber</w:t>
            </w:r>
          </w:p>
        </w:tc>
        <w:tc>
          <w:tcPr>
            <w:tcW w:type="dxa" w:w="1440"/>
          </w:tcPr>
          <w:p>
            <w:r>
              <w:t>Liability exposure and financial exposure</w:t>
            </w:r>
          </w:p>
        </w:tc>
        <w:tc>
          <w:tcPr>
            <w:tcW w:type="dxa" w:w="1440"/>
          </w:tcPr>
          <w:p>
            <w:r>
              <w:t>The defect liability cap is limited to 10 percent of the PO value. While carve-outs exist for safety shutdowns, other significant defect costs remain capped, limiting recovery for non-emergency repairs or stabilization, which creates financial exposure for the buyer.</w:t>
            </w:r>
          </w:p>
        </w:tc>
        <w:tc>
          <w:tcPr>
            <w:tcW w:type="dxa" w:w="1440"/>
          </w:tcPr>
          <w:p>
            <w:r>
              <w:t>Increase the aggregate defect liability cap and expand carve-outs to include all direct costs associated with correcting defects regardless of safety shutdown status.</w:t>
            </w:r>
          </w:p>
        </w:tc>
      </w:tr>
      <w:tr>
        <w:tc>
          <w:tcPr>
            <w:tcW w:type="dxa" w:w="1440"/>
          </w:tcPr>
          <w:p>
            <w:r>
              <w:t>Consequential Damages</w:t>
            </w:r>
          </w:p>
        </w:tc>
        <w:tc>
          <w:tcPr>
            <w:tcW w:type="dxa" w:w="1440"/>
          </w:tcPr>
          <w:p>
            <w:r>
              <w:t>Consequential damages excluded</w:t>
            </w:r>
          </w:p>
        </w:tc>
        <w:tc>
          <w:tcPr>
            <w:tcW w:type="dxa" w:w="1440"/>
          </w:tcPr>
          <w:p>
            <w:r>
              <w:t>Amber</w:t>
            </w:r>
          </w:p>
        </w:tc>
        <w:tc>
          <w:tcPr>
            <w:tcW w:type="dxa" w:w="1440"/>
          </w:tcPr>
          <w:p>
            <w:r>
              <w:t>Unlimited liability exposure for specific carve-outs</w:t>
            </w:r>
          </w:p>
        </w:tc>
        <w:tc>
          <w:tcPr>
            <w:tcW w:type="dxa" w:w="1440"/>
          </w:tcPr>
          <w:p>
            <w:r>
              <w:t>The exclusion of consequential damages is invalidated for confidentiality breaches, indemnity, IP infringement, fraud, gross negligence, willful misconduct, bank guarantees, liquidated damages, and safety shutdown costs. This creates significant financial and legal exposure as these specific events allow for the recovery of indirect and consequential losses.</w:t>
            </w:r>
          </w:p>
        </w:tc>
        <w:tc>
          <w:tcPr>
            <w:tcW w:type="dxa" w:w="1440"/>
          </w:tcPr>
          <w:p>
            <w:r>
              <w:t>Remove exceptions to the consequential damages waiver or subject all carve-outs to an overall aggregate liability cap.</w:t>
            </w:r>
          </w:p>
        </w:tc>
      </w:tr>
      <w:tr>
        <w:tc>
          <w:tcPr>
            <w:tcW w:type="dxa" w:w="1440"/>
          </w:tcPr>
          <w:p>
            <w:r>
              <w:t>Consequential Damages</w:t>
            </w:r>
          </w:p>
        </w:tc>
        <w:tc>
          <w:tcPr>
            <w:tcW w:type="dxa" w:w="1440"/>
          </w:tcPr>
          <w:p>
            <w:r>
              <w:t>Exceptions to exclusion defined</w:t>
            </w:r>
          </w:p>
        </w:tc>
        <w:tc>
          <w:tcPr>
            <w:tcW w:type="dxa" w:w="1440"/>
          </w:tcPr>
          <w:p>
            <w:r>
              <w:t>Amber</w:t>
            </w:r>
          </w:p>
        </w:tc>
        <w:tc>
          <w:tcPr>
            <w:tcW w:type="dxa" w:w="1440"/>
          </w:tcPr>
          <w:p>
            <w:r>
              <w:t>Uncapped liability exposure for multiple carve-out categories</w:t>
            </w:r>
          </w:p>
        </w:tc>
        <w:tc>
          <w:tcPr>
            <w:tcW w:type="dxa" w:w="1440"/>
          </w:tcPr>
          <w:p>
            <w:r>
              <w:t>The exclusion of consequential damages does not apply to confidentiality breaches, indemnity, IP infringement, fraud, gross negligence, willful misconduct, bank guarantees, liquidated damages, and safety shutdown costs. This creates significant financial and legal exposure as these specific losses are not capped by the waiver in Article 00511.15.1.</w:t>
            </w:r>
          </w:p>
        </w:tc>
        <w:tc>
          <w:tcPr>
            <w:tcW w:type="dxa" w:w="1440"/>
          </w:tcPr>
          <w:p>
            <w:r>
              <w:t>Limit the scope of exceptions to the consequential damages waiver and subject all carved-out liabilities to a defined aggregate liability cap.</w:t>
            </w:r>
          </w:p>
        </w:tc>
      </w:tr>
    </w:tbl>
    <w:p>
      <w:r>
        <w:br w:type="page"/>
      </w:r>
    </w:p>
    <w:p>
      <w:pPr>
        <w:pStyle w:val="Heading2"/>
      </w:pPr>
      <w:r>
        <w:t>Table 3 - Mitigation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Clause</w:t>
            </w:r>
          </w:p>
        </w:tc>
        <w:tc>
          <w:tcPr>
            <w:tcW w:type="dxa" w:w="2880"/>
          </w:tcPr>
          <w:p>
            <w:r>
              <w:t>Risk</w:t>
            </w:r>
          </w:p>
        </w:tc>
        <w:tc>
          <w:tcPr>
            <w:tcW w:type="dxa" w:w="2880"/>
          </w:tcPr>
          <w:p>
            <w:r>
              <w:t>Mitigation Recommendation</w:t>
            </w:r>
          </w:p>
        </w:tc>
      </w:tr>
      <w:tr>
        <w:tc>
          <w:tcPr>
            <w:tcW w:type="dxa" w:w="2880"/>
          </w:tcPr>
          <w:p>
            <w:r>
              <w:t>Payment Terms</w:t>
            </w:r>
          </w:p>
        </w:tc>
        <w:tc>
          <w:tcPr>
            <w:tcW w:type="dxa" w:w="2880"/>
          </w:tcPr>
          <w:p>
            <w:r>
              <w:t>45% Minimum Advance</w:t>
            </w:r>
          </w:p>
        </w:tc>
        <w:tc>
          <w:tcPr>
            <w:tcW w:type="dxa" w:w="2880"/>
          </w:tcPr>
          <w:p>
            <w:r>
              <w:t>Ensure the full 45% advance is payable in a single installment upon PO acknowledgement and furnishing of Annex B documents.</w:t>
            </w:r>
          </w:p>
        </w:tc>
      </w:tr>
      <w:tr>
        <w:tc>
          <w:tcPr>
            <w:tcW w:type="dxa" w:w="2880"/>
          </w:tcPr>
          <w:p>
            <w:r>
              <w:t>Payment Terms</w:t>
            </w:r>
          </w:p>
        </w:tc>
        <w:tc>
          <w:tcPr>
            <w:tcW w:type="dxa" w:w="2880"/>
          </w:tcPr>
          <w:p>
            <w:r>
              <w:t>All payments Net 30 days from invoice</w:t>
            </w:r>
          </w:p>
        </w:tc>
        <w:tc>
          <w:tcPr>
            <w:tcW w:type="dxa" w:w="2880"/>
          </w:tcPr>
          <w:p>
            <w:r>
              <w:t>Set payment terms to Net 30 days from invoice receipt and remove conditional dependencies on internal Buyer system records.</w:t>
            </w:r>
          </w:p>
        </w:tc>
      </w:tr>
      <w:tr>
        <w:tc>
          <w:tcPr>
            <w:tcW w:type="dxa" w:w="2880"/>
          </w:tcPr>
          <w:p>
            <w:r>
              <w:t>Bank Guarantees</w:t>
            </w:r>
          </w:p>
        </w:tc>
        <w:tc>
          <w:tcPr>
            <w:tcW w:type="dxa" w:w="2880"/>
          </w:tcPr>
          <w:p>
            <w:r>
              <w:t>Performance Guarantee not exceeding 10%</w:t>
            </w:r>
          </w:p>
        </w:tc>
        <w:tc>
          <w:tcPr>
            <w:tcW w:type="dxa" w:w="2880"/>
          </w:tcPr>
          <w:p>
            <w:r>
              <w:t>Reduce total performance security to a maximum of 10 percent including bridge guarantees.</w:t>
            </w:r>
          </w:p>
        </w:tc>
      </w:tr>
      <w:tr>
        <w:tc>
          <w:tcPr>
            <w:tcW w:type="dxa" w:w="2880"/>
          </w:tcPr>
          <w:p>
            <w:r>
              <w:t>Liquidated Damages</w:t>
            </w:r>
          </w:p>
        </w:tc>
        <w:tc>
          <w:tcPr>
            <w:tcW w:type="dxa" w:w="2880"/>
          </w:tcPr>
          <w:p>
            <w:r>
              <w:t>Documentation LD not applicable</w:t>
            </w:r>
          </w:p>
        </w:tc>
        <w:tc>
          <w:tcPr>
            <w:tcW w:type="dxa" w:w="2880"/>
          </w:tcPr>
          <w:p>
            <w:r>
              <w:t>Remove standalone exclusions for documentation delays and increase the aggregate LD cap to align with total project risk exposure.</w:t>
            </w:r>
          </w:p>
        </w:tc>
      </w:tr>
      <w:tr>
        <w:tc>
          <w:tcPr>
            <w:tcW w:type="dxa" w:w="2880"/>
          </w:tcPr>
          <w:p>
            <w:r>
              <w:t>Liquidated Damages</w:t>
            </w:r>
          </w:p>
        </w:tc>
        <w:tc>
          <w:tcPr>
            <w:tcW w:type="dxa" w:w="2880"/>
          </w:tcPr>
          <w:p>
            <w:r>
              <w:t>Equipment Delivery LD 0.5% per week</w:t>
            </w:r>
          </w:p>
        </w:tc>
        <w:tc>
          <w:tcPr>
            <w:tcW w:type="dxa" w:w="2880"/>
          </w:tcPr>
          <w:p>
            <w:r>
              <w:t>Remove the 5 percent per part cap and increase the aggregate delay exposure cap to align with total potential project loss.</w:t>
            </w:r>
          </w:p>
        </w:tc>
      </w:tr>
      <w:tr>
        <w:tc>
          <w:tcPr>
            <w:tcW w:type="dxa" w:w="2880"/>
          </w:tcPr>
          <w:p>
            <w:r>
              <w:t>Liquidated Damages</w:t>
            </w:r>
          </w:p>
        </w:tc>
        <w:tc>
          <w:tcPr>
            <w:tcW w:type="dxa" w:w="2880"/>
          </w:tcPr>
          <w:p>
            <w:r>
              <w:t>Equipment Delivery LD capped at 5%</w:t>
            </w:r>
          </w:p>
        </w:tc>
        <w:tc>
          <w:tcPr>
            <w:tcW w:type="dxa" w:w="2880"/>
          </w:tcPr>
          <w:p>
            <w:r>
              <w:t>Reduce the aggregate delay exposure cap to a maximum of 5 percent of the total Purchase Order value.</w:t>
            </w:r>
          </w:p>
        </w:tc>
      </w:tr>
      <w:tr>
        <w:tc>
          <w:tcPr>
            <w:tcW w:type="dxa" w:w="2880"/>
          </w:tcPr>
          <w:p>
            <w:r>
              <w:t>Liquidated Damages</w:t>
            </w:r>
          </w:p>
        </w:tc>
        <w:tc>
          <w:tcPr>
            <w:tcW w:type="dxa" w:w="2880"/>
          </w:tcPr>
          <w:p>
            <w:r>
              <w:t>Aggregate LD capped at 5% PO value</w:t>
            </w:r>
          </w:p>
        </w:tc>
        <w:tc>
          <w:tcPr>
            <w:tcW w:type="dxa" w:w="2880"/>
          </w:tcPr>
          <w:p>
            <w:r>
              <w:t>Reduce aggregate LD and service-credit exposure to a maximum of 5 percent of the total Purchase Order value.</w:t>
            </w:r>
          </w:p>
        </w:tc>
      </w:tr>
      <w:tr>
        <w:tc>
          <w:tcPr>
            <w:tcW w:type="dxa" w:w="2880"/>
          </w:tcPr>
          <w:p>
            <w:r>
              <w:t>Liquidated Damages</w:t>
            </w:r>
          </w:p>
        </w:tc>
        <w:tc>
          <w:tcPr>
            <w:tcW w:type="dxa" w:w="2880"/>
          </w:tcPr>
          <w:p>
            <w:r>
              <w:t>Remedial Work LD not applicable</w:t>
            </w:r>
          </w:p>
        </w:tc>
        <w:tc>
          <w:tcPr>
            <w:tcW w:type="dxa" w:w="2880"/>
          </w:tcPr>
          <w:p>
            <w:r>
              <w:t>Apply liquidated damages to remedial work and warranty repairs to ensure timely correction of defects.</w:t>
            </w:r>
          </w:p>
        </w:tc>
      </w:tr>
      <w:tr>
        <w:tc>
          <w:tcPr>
            <w:tcW w:type="dxa" w:w="2880"/>
          </w:tcPr>
          <w:p>
            <w:r>
              <w:t>Guarantee</w:t>
            </w:r>
          </w:p>
        </w:tc>
        <w:tc>
          <w:tcPr>
            <w:tcW w:type="dxa" w:w="2880"/>
          </w:tcPr>
          <w:p>
            <w:r>
              <w:t>Warranty period defined</w:t>
            </w:r>
          </w:p>
        </w:tc>
        <w:tc>
          <w:tcPr>
            <w:tcW w:type="dxa" w:w="2880"/>
          </w:tcPr>
          <w:p>
            <w:r>
              <w:t>Extend standard guarantee to twelve months post-commissioning and ensure remedial guarantees provide full twelve months coverage regardless of the original dispatch date.</w:t>
            </w:r>
          </w:p>
        </w:tc>
      </w:tr>
      <w:tr>
        <w:tc>
          <w:tcPr>
            <w:tcW w:type="dxa" w:w="2880"/>
          </w:tcPr>
          <w:p>
            <w:r>
              <w:t>Guarantee</w:t>
            </w:r>
          </w:p>
        </w:tc>
        <w:tc>
          <w:tcPr>
            <w:tcW w:type="dxa" w:w="2880"/>
          </w:tcPr>
          <w:p>
            <w:r>
              <w:t>2 months from commissioning or 18 months from dispatch</w:t>
            </w:r>
          </w:p>
        </w:tc>
        <w:tc>
          <w:tcPr>
            <w:tcW w:type="dxa" w:w="2880"/>
          </w:tcPr>
          <w:p>
            <w:r>
              <w:t>Ensure repaired or replaced components are guaranteed for twelve months from completion of repair or replacement regardless of the original dispatch date.</w:t>
            </w:r>
          </w:p>
        </w:tc>
      </w:tr>
      <w:tr>
        <w:tc>
          <w:tcPr>
            <w:tcW w:type="dxa" w:w="2880"/>
          </w:tcPr>
          <w:p>
            <w:r>
              <w:t>Guarantee</w:t>
            </w:r>
          </w:p>
        </w:tc>
        <w:tc>
          <w:tcPr>
            <w:tcW w:type="dxa" w:w="2880"/>
          </w:tcPr>
          <w:p>
            <w:r>
              <w:t>Repair/replacement warranty obligations defined</w:t>
            </w:r>
          </w:p>
        </w:tc>
        <w:tc>
          <w:tcPr>
            <w:tcW w:type="dxa" w:w="2880"/>
          </w:tcPr>
          <w:p>
            <w:r>
              <w:t>Ensure repaired or replaced components are guaranteed for twelve months from completion of repair or replacement regardless of the original dispatch date.</w:t>
            </w:r>
          </w:p>
        </w:tc>
      </w:tr>
      <w:tr>
        <w:tc>
          <w:tcPr>
            <w:tcW w:type="dxa" w:w="2880"/>
          </w:tcPr>
          <w:p>
            <w:r>
              <w:t>Force Majeure</w:t>
            </w:r>
          </w:p>
        </w:tc>
        <w:tc>
          <w:tcPr>
            <w:tcW w:type="dxa" w:w="2880"/>
          </w:tcPr>
          <w:p>
            <w:r>
              <w:t>Force majeure events defined</w:t>
            </w:r>
          </w:p>
        </w:tc>
        <w:tc>
          <w:tcPr>
            <w:tcW w:type="dxa" w:w="2880"/>
          </w:tcPr>
          <w:p>
            <w:r>
              <w:t>Extend Force Majeure relief to all sub-contractors and vendors regardless of their naming in Annex D provided the event satisfies the general Force Majeure definition.</w:t>
            </w:r>
          </w:p>
        </w:tc>
      </w:tr>
      <w:tr>
        <w:tc>
          <w:tcPr>
            <w:tcW w:type="dxa" w:w="2880"/>
          </w:tcPr>
          <w:p>
            <w:r>
              <w:t>Force Majeure</w:t>
            </w:r>
          </w:p>
        </w:tc>
        <w:tc>
          <w:tcPr>
            <w:tcW w:type="dxa" w:w="2880"/>
          </w:tcPr>
          <w:p>
            <w:r>
              <w:t>Applies to subcontractors</w:t>
            </w:r>
          </w:p>
        </w:tc>
        <w:tc>
          <w:tcPr>
            <w:tcW w:type="dxa" w:w="2880"/>
          </w:tcPr>
          <w:p>
            <w:r>
              <w:t>Extend force majeure relief to all subcontractors and vendors regardless of their tier or naming in Annex D.</w:t>
            </w:r>
          </w:p>
        </w:tc>
      </w:tr>
      <w:tr>
        <w:tc>
          <w:tcPr>
            <w:tcW w:type="dxa" w:w="2880"/>
          </w:tcPr>
          <w:p>
            <w:r>
              <w:t>Force Majeure</w:t>
            </w:r>
          </w:p>
        </w:tc>
        <w:tc>
          <w:tcPr>
            <w:tcW w:type="dxa" w:w="2880"/>
          </w:tcPr>
          <w:p>
            <w:r>
              <w:t>Notice obligations defined</w:t>
            </w:r>
          </w:p>
        </w:tc>
        <w:tc>
          <w:tcPr>
            <w:tcW w:type="dxa" w:w="2880"/>
          </w:tcPr>
          <w:p>
            <w:r>
              <w:t>Expand force majeure relief to include all sub-contractors and logistics providers regardless of their designation in Annex D.</w:t>
            </w:r>
          </w:p>
        </w:tc>
      </w:tr>
      <w:tr>
        <w:tc>
          <w:tcPr>
            <w:tcW w:type="dxa" w:w="2880"/>
          </w:tcPr>
          <w:p>
            <w:r>
              <w:t>Termination</w:t>
            </w:r>
          </w:p>
        </w:tc>
        <w:tc>
          <w:tcPr>
            <w:tcW w:type="dxa" w:w="2880"/>
          </w:tcPr>
          <w:p>
            <w:r>
              <w:t>Termination rights defined</w:t>
            </w:r>
          </w:p>
        </w:tc>
        <w:tc>
          <w:tcPr>
            <w:tcW w:type="dxa" w:w="2880"/>
          </w:tcPr>
          <w:p>
            <w:r>
              <w:t>Limit termination for convenience payments to documented actual costs incurred and proven non-cancelable commitments rather than a fixed percentage of order value.</w:t>
            </w:r>
          </w:p>
        </w:tc>
      </w:tr>
      <w:tr>
        <w:tc>
          <w:tcPr>
            <w:tcW w:type="dxa" w:w="2880"/>
          </w:tcPr>
          <w:p>
            <w:r>
              <w:t>Termination</w:t>
            </w:r>
          </w:p>
        </w:tc>
        <w:tc>
          <w:tcPr>
            <w:tcW w:type="dxa" w:w="2880"/>
          </w:tcPr>
          <w:p>
            <w:r>
              <w:t>Cancellation fee structure defined</w:t>
            </w:r>
          </w:p>
        </w:tc>
        <w:tc>
          <w:tcPr>
            <w:tcW w:type="dxa" w:w="2880"/>
          </w:tcPr>
          <w:p>
            <w:r>
              <w:t>Replace the percentage-based fee schedule with a reimbursement model limited to documented, non-cancelable costs and reasonable wind-down expenses.</w:t>
            </w:r>
          </w:p>
        </w:tc>
      </w:tr>
      <w:tr>
        <w:tc>
          <w:tcPr>
            <w:tcW w:type="dxa" w:w="2880"/>
          </w:tcPr>
          <w:p>
            <w:r>
              <w:t>Termination</w:t>
            </w:r>
          </w:p>
        </w:tc>
        <w:tc>
          <w:tcPr>
            <w:tcW w:type="dxa" w:w="2880"/>
          </w:tcPr>
          <w:p>
            <w:r>
              <w:t>61-90 day cancellation fee 40%</w:t>
            </w:r>
          </w:p>
        </w:tc>
        <w:tc>
          <w:tcPr>
            <w:tcW w:type="dxa" w:w="2880"/>
          </w:tcPr>
          <w:p>
            <w:r>
              <w:t>Increase the convenience cancellation fee for the 61-90 days bracket to 40 percent of the order value.</w:t>
            </w:r>
          </w:p>
        </w:tc>
      </w:tr>
      <w:tr>
        <w:tc>
          <w:tcPr>
            <w:tcW w:type="dxa" w:w="2880"/>
          </w:tcPr>
          <w:p>
            <w:r>
              <w:t>Suspension</w:t>
            </w:r>
          </w:p>
        </w:tc>
        <w:tc>
          <w:tcPr>
            <w:tcW w:type="dxa" w:w="2880"/>
          </w:tcPr>
          <w:p>
            <w:r>
              <w:t>Maximum 2 suspensions and 30 days aggregate</w:t>
            </w:r>
          </w:p>
        </w:tc>
        <w:tc>
          <w:tcPr>
            <w:tcW w:type="dxa" w:w="2880"/>
          </w:tcPr>
          <w:p>
            <w:r>
              <w:t>Include regulatory, government, legal, and safety stoppages within the aggregate suspension limit and the criteria for compensable change orders.</w:t>
            </w:r>
          </w:p>
        </w:tc>
      </w:tr>
      <w:tr>
        <w:tc>
          <w:tcPr>
            <w:tcW w:type="dxa" w:w="2880"/>
          </w:tcPr>
          <w:p>
            <w:r>
              <w:t>Suspension</w:t>
            </w:r>
          </w:p>
        </w:tc>
        <w:tc>
          <w:tcPr>
            <w:tcW w:type="dxa" w:w="2880"/>
          </w:tcPr>
          <w:p>
            <w:r>
              <w:t>Supplier obligations during suspension defined</w:t>
            </w:r>
          </w:p>
        </w:tc>
        <w:tc>
          <w:tcPr>
            <w:tcW w:type="dxa" w:w="2880"/>
          </w:tcPr>
          <w:p>
            <w:r>
              <w:t>Define specific compensation rates for excess suspensions and remove the material and resource availability condition from the restart notice obligation.</w:t>
            </w:r>
          </w:p>
        </w:tc>
      </w:tr>
      <w:tr>
        <w:tc>
          <w:tcPr>
            <w:tcW w:type="dxa" w:w="2880"/>
          </w:tcPr>
          <w:p>
            <w:r>
              <w:t>Governing Law</w:t>
            </w:r>
          </w:p>
        </w:tc>
        <w:tc>
          <w:tcPr>
            <w:tcW w:type="dxa" w:w="2880"/>
          </w:tcPr>
          <w:p>
            <w:r>
              <w:t>Applicable law specified</w:t>
            </w:r>
          </w:p>
        </w:tc>
        <w:tc>
          <w:tcPr>
            <w:tcW w:type="dxa" w:w="2880"/>
          </w:tcPr>
          <w:p>
            <w:r>
              <w:t>Consolidate governing law and all dispute resolution proceedings into a single jurisdiction and forum to eliminate forum shopping and conflicting rulings.</w:t>
            </w:r>
          </w:p>
        </w:tc>
      </w:tr>
      <w:tr>
        <w:tc>
          <w:tcPr>
            <w:tcW w:type="dxa" w:w="2880"/>
          </w:tcPr>
          <w:p>
            <w:r>
              <w:t>Dispute Resolution</w:t>
            </w:r>
          </w:p>
        </w:tc>
        <w:tc>
          <w:tcPr>
            <w:tcW w:type="dxa" w:w="2880"/>
          </w:tcPr>
          <w:p>
            <w:r>
              <w:t>Arbitration mechanism defined</w:t>
            </w:r>
          </w:p>
        </w:tc>
        <w:tc>
          <w:tcPr>
            <w:tcW w:type="dxa" w:w="2880"/>
          </w:tcPr>
          <w:p>
            <w:r>
              <w:t>Remove the mandatory technical expert prerequisite and provide direct access to Singapore arbitration for all disputes including those regarding laboratory test methodology.</w:t>
            </w:r>
          </w:p>
        </w:tc>
      </w:tr>
      <w:tr>
        <w:tc>
          <w:tcPr>
            <w:tcW w:type="dxa" w:w="2880"/>
          </w:tcPr>
          <w:p>
            <w:r>
              <w:t>Dispute Resolution</w:t>
            </w:r>
          </w:p>
        </w:tc>
        <w:tc>
          <w:tcPr>
            <w:tcW w:type="dxa" w:w="2880"/>
          </w:tcPr>
          <w:p>
            <w:r>
              <w:t>Seat of arbitration specified</w:t>
            </w:r>
          </w:p>
        </w:tc>
        <w:tc>
          <w:tcPr>
            <w:tcW w:type="dxa" w:w="2880"/>
          </w:tcPr>
          <w:p>
            <w:r>
              <w:t>Remove the mandatory technical expert referral and provide direct access to Singapore arbitration for all disputes.</w:t>
            </w:r>
          </w:p>
        </w:tc>
      </w:tr>
      <w:tr>
        <w:tc>
          <w:tcPr>
            <w:tcW w:type="dxa" w:w="2880"/>
          </w:tcPr>
          <w:p>
            <w:r>
              <w:t>Liability</w:t>
            </w:r>
          </w:p>
        </w:tc>
        <w:tc>
          <w:tcPr>
            <w:tcW w:type="dxa" w:w="2880"/>
          </w:tcPr>
          <w:p>
            <w:r>
              <w:t>Liability carve-outs defined</w:t>
            </w:r>
          </w:p>
        </w:tc>
        <w:tc>
          <w:tcPr>
            <w:tcW w:type="dxa" w:w="2880"/>
          </w:tcPr>
          <w:p>
            <w:r>
              <w:t>Increase the aggregate defect liability cap and expand carve-outs to include all direct costs associated with correcting defects regardless of safety shutdown status.</w:t>
            </w:r>
          </w:p>
        </w:tc>
      </w:tr>
      <w:tr>
        <w:tc>
          <w:tcPr>
            <w:tcW w:type="dxa" w:w="2880"/>
          </w:tcPr>
          <w:p>
            <w:r>
              <w:t>Consequential Damages</w:t>
            </w:r>
          </w:p>
        </w:tc>
        <w:tc>
          <w:tcPr>
            <w:tcW w:type="dxa" w:w="2880"/>
          </w:tcPr>
          <w:p>
            <w:r>
              <w:t>Consequential damages excluded</w:t>
            </w:r>
          </w:p>
        </w:tc>
        <w:tc>
          <w:tcPr>
            <w:tcW w:type="dxa" w:w="2880"/>
          </w:tcPr>
          <w:p>
            <w:r>
              <w:t>Remove exceptions to the consequential damages waiver or subject all carve-outs to an overall aggregate liability cap.</w:t>
            </w:r>
          </w:p>
        </w:tc>
      </w:tr>
      <w:tr>
        <w:tc>
          <w:tcPr>
            <w:tcW w:type="dxa" w:w="2880"/>
          </w:tcPr>
          <w:p>
            <w:r>
              <w:t>Consequential Damages</w:t>
            </w:r>
          </w:p>
        </w:tc>
        <w:tc>
          <w:tcPr>
            <w:tcW w:type="dxa" w:w="2880"/>
          </w:tcPr>
          <w:p>
            <w:r>
              <w:t>Exceptions to exclusion defined</w:t>
            </w:r>
          </w:p>
        </w:tc>
        <w:tc>
          <w:tcPr>
            <w:tcW w:type="dxa" w:w="2880"/>
          </w:tcPr>
          <w:p>
            <w:r>
              <w:t>Limit the scope of exceptions to the consequential damages waiver and subject all carved-out liabilities to a defined aggregate liability cap.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