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E01" w14:textId="383BF6BC" w:rsidR="008E7718" w:rsidRPr="008E7718" w:rsidRDefault="00474684" w:rsidP="008E7718">
      <w:pPr>
        <w:rPr>
          <w:rFonts w:cstheme="minorHAnsi"/>
          <w:sz w:val="32"/>
          <w:szCs w:val="32"/>
        </w:rPr>
      </w:pPr>
      <w:r>
        <w:rPr>
          <w:rFonts w:cstheme="minorHAnsi"/>
          <w:sz w:val="32"/>
          <w:szCs w:val="32"/>
        </w:rPr>
        <w:t>VPC</w:t>
      </w:r>
      <w:r w:rsidR="000E721C">
        <w:rPr>
          <w:rFonts w:cstheme="minorHAnsi"/>
          <w:sz w:val="32"/>
          <w:szCs w:val="32"/>
        </w:rPr>
        <w:t xml:space="preserve"> </w:t>
      </w:r>
      <w:r w:rsidR="008D2F84">
        <w:rPr>
          <w:rFonts w:cstheme="minorHAnsi"/>
          <w:sz w:val="32"/>
          <w:szCs w:val="32"/>
        </w:rPr>
        <w:t>Security</w:t>
      </w:r>
    </w:p>
    <w:p w14:paraId="765C4526" w14:textId="77777777" w:rsidR="008E7718" w:rsidRPr="008E7718" w:rsidRDefault="008E7718" w:rsidP="008E7718">
      <w:pPr>
        <w:rPr>
          <w:rFonts w:cstheme="minorHAnsi"/>
          <w:sz w:val="32"/>
          <w:szCs w:val="32"/>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14:paraId="63645D35" w14:textId="77777777" w:rsidR="008D2F84" w:rsidRPr="008D2F84" w:rsidRDefault="008D2F84" w:rsidP="008D2F84">
      <w:pPr>
        <w:rPr>
          <w:rFonts w:cstheme="minorHAnsi"/>
          <w:i/>
          <w:iCs/>
        </w:rPr>
      </w:pPr>
      <w:r w:rsidRPr="008D2F84">
        <w:rPr>
          <w:rFonts w:cstheme="minorHAnsi"/>
          <w:i/>
          <w:iCs/>
        </w:rPr>
        <w:t>Cloud security at AWS is the highest priority. As an AWS customer, you benefit from a data center and network architecture that is built to meet the requirements of the most security-sensitive organizations.</w:t>
      </w:r>
    </w:p>
    <w:p w14:paraId="1C5898AB" w14:textId="77777777" w:rsidR="008D2F84" w:rsidRPr="008D2F84" w:rsidRDefault="008D2F84" w:rsidP="008D2F84">
      <w:pPr>
        <w:rPr>
          <w:rFonts w:cstheme="minorHAnsi"/>
          <w:i/>
          <w:iCs/>
        </w:rPr>
      </w:pPr>
      <w:r w:rsidRPr="008D2F84">
        <w:rPr>
          <w:rFonts w:cstheme="minorHAnsi"/>
          <w:i/>
          <w:iCs/>
        </w:rPr>
        <w:t>Security is a shared responsibility between AWS and you. The </w:t>
      </w:r>
      <w:hyperlink r:id="rId9" w:tgtFrame="_blank" w:history="1">
        <w:r w:rsidRPr="008D2F84">
          <w:rPr>
            <w:rFonts w:cstheme="minorHAnsi"/>
            <w:i/>
            <w:iCs/>
          </w:rPr>
          <w:t>shared responsibility model</w:t>
        </w:r>
      </w:hyperlink>
      <w:r w:rsidRPr="008D2F84">
        <w:rPr>
          <w:rFonts w:cstheme="minorHAnsi"/>
          <w:i/>
          <w:iCs/>
        </w:rPr>
        <w:t> describes this as security </w:t>
      </w:r>
      <w:r w:rsidRPr="008D2F84">
        <w:rPr>
          <w:rFonts w:cstheme="minorHAnsi"/>
        </w:rPr>
        <w:t>of</w:t>
      </w:r>
      <w:r w:rsidRPr="008D2F84">
        <w:rPr>
          <w:rFonts w:cstheme="minorHAnsi"/>
          <w:i/>
          <w:iCs/>
        </w:rPr>
        <w:t> the cloud and security </w:t>
      </w:r>
      <w:r w:rsidRPr="008D2F84">
        <w:rPr>
          <w:rFonts w:cstheme="minorHAnsi"/>
        </w:rPr>
        <w:t>in</w:t>
      </w:r>
      <w:r w:rsidRPr="008D2F84">
        <w:rPr>
          <w:rFonts w:cstheme="minorHAnsi"/>
          <w:i/>
          <w:iCs/>
        </w:rPr>
        <w:t> the cloud:</w:t>
      </w:r>
    </w:p>
    <w:p w14:paraId="0DE58681" w14:textId="77777777" w:rsidR="008D2F84" w:rsidRPr="008D2F84" w:rsidRDefault="008D2F84" w:rsidP="008D2F84">
      <w:pPr>
        <w:pStyle w:val="ListParagraph"/>
        <w:numPr>
          <w:ilvl w:val="0"/>
          <w:numId w:val="11"/>
        </w:numPr>
        <w:rPr>
          <w:rFonts w:cstheme="minorHAnsi"/>
          <w:i/>
          <w:iCs/>
        </w:rPr>
      </w:pPr>
      <w:r w:rsidRPr="008D2F84">
        <w:rPr>
          <w:rFonts w:cstheme="minorHAnsi"/>
          <w:i/>
          <w:iCs/>
        </w:rPr>
        <w:t>Security of the cloud – AWS is responsible for protecting the infrastructure that runs AWS services in the AWS Cloud. AWS also provides you with services that you can use securely. Third-party auditors regularly test and verify the effectiveness of our security as part of the </w:t>
      </w:r>
      <w:hyperlink r:id="rId10" w:tgtFrame="_blank" w:history="1">
        <w:r w:rsidRPr="008D2F84">
          <w:rPr>
            <w:rFonts w:cstheme="minorHAnsi"/>
            <w:i/>
            <w:iCs/>
          </w:rPr>
          <w:t>AWS Compliance Programs</w:t>
        </w:r>
      </w:hyperlink>
      <w:r w:rsidRPr="008D2F84">
        <w:rPr>
          <w:rFonts w:cstheme="minorHAnsi"/>
          <w:i/>
          <w:iCs/>
        </w:rPr>
        <w:t>. To learn about the compliance programs that apply to Amazon Virtual Private Cloud, see </w:t>
      </w:r>
      <w:hyperlink r:id="rId11" w:tgtFrame="_blank" w:history="1">
        <w:r w:rsidRPr="008D2F84">
          <w:rPr>
            <w:rFonts w:cstheme="minorHAnsi"/>
            <w:i/>
            <w:iCs/>
          </w:rPr>
          <w:t>AWS Services in Scope by Compliance Program</w:t>
        </w:r>
      </w:hyperlink>
      <w:r w:rsidRPr="008D2F84">
        <w:rPr>
          <w:rFonts w:cstheme="minorHAnsi"/>
          <w:i/>
          <w:iCs/>
        </w:rPr>
        <w:t>.</w:t>
      </w:r>
    </w:p>
    <w:p w14:paraId="3965C70C" w14:textId="77777777" w:rsidR="008D2F84" w:rsidRPr="008D2F84" w:rsidRDefault="008D2F84" w:rsidP="008D2F84">
      <w:pPr>
        <w:pStyle w:val="ListParagraph"/>
        <w:numPr>
          <w:ilvl w:val="0"/>
          <w:numId w:val="11"/>
        </w:numPr>
        <w:rPr>
          <w:rFonts w:cstheme="minorHAnsi"/>
          <w:i/>
          <w:iCs/>
        </w:rPr>
      </w:pPr>
      <w:r w:rsidRPr="008D2F84">
        <w:rPr>
          <w:rFonts w:cstheme="minorHAnsi"/>
          <w:i/>
          <w:iCs/>
        </w:rPr>
        <w:t>Security in the cloud – Your responsibility is determined by the AWS service that you use. You are also responsible for other factors including the sensitivity of your data, your company’s requirements, and applicable laws and regulations.</w:t>
      </w:r>
    </w:p>
    <w:p w14:paraId="472E0724" w14:textId="3AFAB2A6" w:rsidR="008D2F84" w:rsidRPr="00774645" w:rsidRDefault="00774645" w:rsidP="00D96761">
      <w:pPr>
        <w:rPr>
          <w:rFonts w:cstheme="minorHAnsi"/>
          <w:i/>
          <w:iCs/>
        </w:rPr>
      </w:pPr>
      <w:r w:rsidRPr="00774645">
        <w:rPr>
          <w:rFonts w:cstheme="minorHAnsi"/>
          <w:i/>
          <w:iCs/>
        </w:rPr>
        <w:t>Amazon Virtual Private Cloud provides features that you can use to increase and monitor the security for your virtual private cloud (VPC):</w:t>
      </w:r>
    </w:p>
    <w:p w14:paraId="700988DD" w14:textId="77777777" w:rsidR="009E66E6" w:rsidRDefault="009E66E6" w:rsidP="00774645">
      <w:pPr>
        <w:pStyle w:val="paragraph"/>
        <w:numPr>
          <w:ilvl w:val="0"/>
          <w:numId w:val="16"/>
        </w:numPr>
        <w:spacing w:before="0" w:beforeAutospacing="0" w:after="0" w:afterAutospacing="0"/>
        <w:textAlignment w:val="baseline"/>
        <w:rPr>
          <w:rFonts w:ascii="Calibri" w:hAnsi="Calibri" w:cs="Calibri"/>
          <w:sz w:val="22"/>
          <w:szCs w:val="22"/>
        </w:rPr>
      </w:pPr>
      <w:r>
        <w:rPr>
          <w:rStyle w:val="normaltextrun"/>
          <w:rFonts w:ascii="Calibri" w:hAnsi="Calibri" w:cs="Calibri"/>
          <w:i/>
          <w:iCs/>
        </w:rPr>
        <w:t>A </w:t>
      </w:r>
      <w:hyperlink r:id="rId12" w:tgtFrame="_blank" w:history="1">
        <w:r>
          <w:rPr>
            <w:rStyle w:val="normaltextrun"/>
            <w:rFonts w:ascii="Calibri" w:hAnsi="Calibri" w:cs="Calibri"/>
            <w:b/>
            <w:bCs/>
            <w:i/>
            <w:iCs/>
            <w:color w:val="0000FF"/>
            <w:u w:val="single"/>
          </w:rPr>
          <w:t>security group </w:t>
        </w:r>
      </w:hyperlink>
      <w:r>
        <w:rPr>
          <w:rStyle w:val="normaltextrun"/>
          <w:rFonts w:ascii="Calibri" w:hAnsi="Calibri" w:cs="Calibri"/>
          <w:i/>
          <w:iCs/>
        </w:rPr>
        <w:t>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can be assigned to a different set of security groups. For each security group, you add rules that control the inbound traffic to instances, and a separate set of rules that control the outbound </w:t>
      </w:r>
      <w:proofErr w:type="gramStart"/>
      <w:r>
        <w:rPr>
          <w:rStyle w:val="normaltextrun"/>
          <w:rFonts w:ascii="Calibri" w:hAnsi="Calibri" w:cs="Calibri"/>
          <w:i/>
          <w:iCs/>
        </w:rPr>
        <w:t>traffic..</w:t>
      </w:r>
      <w:proofErr w:type="gramEnd"/>
      <w:r>
        <w:rPr>
          <w:rStyle w:val="normaltextrun"/>
          <w:rFonts w:ascii="Calibri" w:hAnsi="Calibri" w:cs="Calibri"/>
          <w:i/>
          <w:iCs/>
        </w:rPr>
        <w:t> </w:t>
      </w:r>
      <w:r>
        <w:rPr>
          <w:rStyle w:val="normaltextrun"/>
          <w:rFonts w:ascii="Calibri" w:hAnsi="Calibri" w:cs="Calibri"/>
          <w:b/>
          <w:bCs/>
          <w:i/>
          <w:iCs/>
          <w:color w:val="FF0000"/>
        </w:rPr>
        <w:t>Security Groups are Stateful </w:t>
      </w:r>
      <w:r>
        <w:rPr>
          <w:rStyle w:val="normaltextrun"/>
          <w:rFonts w:ascii="Calibri" w:hAnsi="Calibri" w:cs="Calibri"/>
          <w:i/>
          <w:iCs/>
        </w:rPr>
        <w:t xml:space="preserve">if you send a request from your instance, the response traffic for that request </w:t>
      </w:r>
      <w:proofErr w:type="gramStart"/>
      <w:r>
        <w:rPr>
          <w:rStyle w:val="normaltextrun"/>
          <w:rFonts w:ascii="Calibri" w:hAnsi="Calibri" w:cs="Calibri"/>
          <w:i/>
          <w:iCs/>
        </w:rPr>
        <w:t>is allowed to</w:t>
      </w:r>
      <w:proofErr w:type="gramEnd"/>
      <w:r>
        <w:rPr>
          <w:rStyle w:val="normaltextrun"/>
          <w:rFonts w:ascii="Calibri" w:hAnsi="Calibri" w:cs="Calibri"/>
          <w:i/>
          <w:iCs/>
        </w:rPr>
        <w:t xml:space="preserve"> flow in regardless of inbound security group rules. Responses to allowed inbound traffic are allowed to flow out, regardless of outbound rules</w:t>
      </w:r>
      <w:proofErr w:type="gramStart"/>
      <w:r>
        <w:rPr>
          <w:rStyle w:val="normaltextrun"/>
          <w:rFonts w:ascii="Calibri" w:hAnsi="Calibri" w:cs="Calibri"/>
          <w:i/>
          <w:iCs/>
        </w:rPr>
        <w:t>.;</w:t>
      </w:r>
      <w:proofErr w:type="gramEnd"/>
      <w:r>
        <w:rPr>
          <w:rStyle w:val="eop"/>
          <w:rFonts w:ascii="Calibri" w:hAnsi="Calibri" w:cs="Calibri"/>
        </w:rPr>
        <w:t> </w:t>
      </w:r>
    </w:p>
    <w:p w14:paraId="495D3013" w14:textId="77777777" w:rsidR="008F381F" w:rsidRDefault="009E66E6" w:rsidP="008F381F">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rPr>
        <w:t>A </w:t>
      </w:r>
      <w:hyperlink r:id="rId13" w:tgtFrame="_blank" w:history="1">
        <w:r>
          <w:rPr>
            <w:rStyle w:val="normaltextrun"/>
            <w:rFonts w:ascii="Calibri" w:hAnsi="Calibri" w:cs="Calibri"/>
            <w:b/>
            <w:bCs/>
            <w:color w:val="0000FF"/>
            <w:u w:val="single"/>
          </w:rPr>
          <w:t>network access control list</w:t>
        </w:r>
      </w:hyperlink>
      <w:r>
        <w:rPr>
          <w:rStyle w:val="normaltextrun"/>
          <w:rFonts w:ascii="Calibri" w:hAnsi="Calibri" w:cs="Calibri"/>
        </w:rPr>
        <w:t> (ACL)</w:t>
      </w:r>
      <w:r>
        <w:rPr>
          <w:rStyle w:val="normaltextrun"/>
          <w:rFonts w:ascii="Calibri" w:hAnsi="Calibri" w:cs="Calibri"/>
          <w:i/>
          <w:iCs/>
        </w:rPr>
        <w:t> is an optional layer of security for your VPC that acts as a firewall for controlling traffic in and out of one or more subnets. You might set up network ACLs with rules </w:t>
      </w:r>
      <w:proofErr w:type="gramStart"/>
      <w:r>
        <w:rPr>
          <w:rStyle w:val="normaltextrun"/>
          <w:rFonts w:ascii="Calibri" w:hAnsi="Calibri" w:cs="Calibri"/>
          <w:i/>
          <w:iCs/>
        </w:rPr>
        <w:t>similar to</w:t>
      </w:r>
      <w:proofErr w:type="gramEnd"/>
      <w:r>
        <w:rPr>
          <w:rStyle w:val="normaltextrun"/>
          <w:rFonts w:ascii="Calibri" w:hAnsi="Calibri" w:cs="Calibri"/>
          <w:i/>
          <w:iCs/>
        </w:rPr>
        <w:t> your security groups in order to add an additional layer of security to your VPC</w:t>
      </w:r>
      <w:r>
        <w:rPr>
          <w:rStyle w:val="normaltextrun"/>
          <w:rFonts w:ascii="Calibri" w:hAnsi="Calibri" w:cs="Calibri"/>
          <w:i/>
          <w:iCs/>
          <w:color w:val="FF0000"/>
        </w:rPr>
        <w:t>.  Network Access Control Lists are Stateless</w:t>
      </w:r>
      <w:r>
        <w:rPr>
          <w:rStyle w:val="normaltextrun"/>
          <w:rFonts w:ascii="Calibri" w:hAnsi="Calibri" w:cs="Calibri"/>
          <w:i/>
          <w:iCs/>
        </w:rPr>
        <w:t>, which means that responses to allowed inbound traffic are subject to the rules for outbound traffic (and vice versa).</w:t>
      </w:r>
      <w:r>
        <w:rPr>
          <w:rStyle w:val="eop"/>
          <w:rFonts w:ascii="Calibri" w:hAnsi="Calibri" w:cs="Calibri"/>
        </w:rPr>
        <w:t> </w:t>
      </w:r>
    </w:p>
    <w:p w14:paraId="478C70F5" w14:textId="6AB553D0" w:rsidR="009E66E6" w:rsidRPr="008F381F" w:rsidRDefault="009E66E6" w:rsidP="008F381F">
      <w:pPr>
        <w:pStyle w:val="paragraph"/>
        <w:numPr>
          <w:ilvl w:val="1"/>
          <w:numId w:val="16"/>
        </w:numPr>
        <w:spacing w:before="0" w:beforeAutospacing="0" w:after="0" w:afterAutospacing="0"/>
        <w:textAlignment w:val="baseline"/>
        <w:rPr>
          <w:rFonts w:ascii="Calibri" w:hAnsi="Calibri" w:cs="Calibri"/>
          <w:sz w:val="22"/>
          <w:szCs w:val="22"/>
        </w:rPr>
      </w:pPr>
      <w:r w:rsidRPr="008F381F">
        <w:rPr>
          <w:rStyle w:val="normaltextrun"/>
          <w:rFonts w:ascii="Calibri" w:hAnsi="Calibri" w:cs="Calibri"/>
          <w:i/>
          <w:iCs/>
        </w:rPr>
        <w:t>You can associate a network ACL with multiple subnets; however, a subnet can be associated with only one network ACL at a time. When you associate a network ACL with a subnet, the previous association is removed.</w:t>
      </w:r>
      <w:r w:rsidRPr="008F381F">
        <w:rPr>
          <w:rStyle w:val="eop"/>
          <w:rFonts w:ascii="Calibri" w:hAnsi="Calibri" w:cs="Calibri"/>
        </w:rPr>
        <w:t> </w:t>
      </w:r>
    </w:p>
    <w:p w14:paraId="71D63B5F" w14:textId="77777777" w:rsidR="009E66E6" w:rsidRPr="008F381F" w:rsidRDefault="009E66E6" w:rsidP="008F381F">
      <w:pPr>
        <w:pStyle w:val="paragraph"/>
        <w:numPr>
          <w:ilvl w:val="1"/>
          <w:numId w:val="16"/>
        </w:numPr>
        <w:spacing w:before="0" w:beforeAutospacing="0" w:after="0" w:afterAutospacing="0"/>
        <w:textAlignment w:val="baseline"/>
        <w:rPr>
          <w:rStyle w:val="normaltextrun"/>
          <w:i/>
          <w:iCs/>
        </w:rPr>
      </w:pPr>
      <w:r>
        <w:rPr>
          <w:rStyle w:val="normaltextrun"/>
          <w:rFonts w:ascii="Calibri" w:hAnsi="Calibri" w:cs="Calibri"/>
          <w:i/>
          <w:iCs/>
        </w:rPr>
        <w:t>Network ACLs contain a numbered list of rules that is evaluated in order, starting with the lowest numbered rule.</w:t>
      </w:r>
      <w:r w:rsidRPr="008F381F">
        <w:rPr>
          <w:rStyle w:val="normaltextrun"/>
          <w:i/>
          <w:iCs/>
        </w:rPr>
        <w:t> </w:t>
      </w:r>
    </w:p>
    <w:p w14:paraId="42B09995" w14:textId="77777777" w:rsidR="009E66E6" w:rsidRPr="008F381F" w:rsidRDefault="009E66E6" w:rsidP="008F381F">
      <w:pPr>
        <w:pStyle w:val="paragraph"/>
        <w:numPr>
          <w:ilvl w:val="1"/>
          <w:numId w:val="16"/>
        </w:numPr>
        <w:spacing w:before="0" w:beforeAutospacing="0" w:after="0" w:afterAutospacing="0"/>
        <w:textAlignment w:val="baseline"/>
        <w:rPr>
          <w:rStyle w:val="normaltextrun"/>
          <w:i/>
          <w:iCs/>
        </w:rPr>
      </w:pPr>
      <w:r>
        <w:rPr>
          <w:rStyle w:val="normaltextrun"/>
          <w:rFonts w:ascii="Calibri" w:hAnsi="Calibri" w:cs="Calibri"/>
          <w:i/>
          <w:iCs/>
        </w:rPr>
        <w:t>Network ACLs have separate inbound and outbound rules, and each rule can either allow or deny traffic.</w:t>
      </w:r>
      <w:r w:rsidRPr="008F381F">
        <w:rPr>
          <w:rStyle w:val="normaltextrun"/>
          <w:i/>
          <w:iCs/>
        </w:rPr>
        <w:t> </w:t>
      </w:r>
    </w:p>
    <w:p w14:paraId="0C00BC87" w14:textId="25138270" w:rsidR="009E66E6" w:rsidRDefault="009E66E6" w:rsidP="008F381F">
      <w:pPr>
        <w:pStyle w:val="paragraph"/>
        <w:numPr>
          <w:ilvl w:val="1"/>
          <w:numId w:val="16"/>
        </w:numPr>
        <w:spacing w:before="0" w:beforeAutospacing="0" w:after="0" w:afterAutospacing="0"/>
        <w:textAlignment w:val="baseline"/>
        <w:rPr>
          <w:rStyle w:val="normaltextrun"/>
          <w:i/>
          <w:iCs/>
        </w:rPr>
      </w:pPr>
      <w:r>
        <w:rPr>
          <w:rStyle w:val="normaltextrun"/>
          <w:rFonts w:ascii="Calibri" w:hAnsi="Calibri" w:cs="Calibri"/>
          <w:i/>
          <w:iCs/>
        </w:rPr>
        <w:t>Network ACLs are stateless; responses to allowed inbound traffic are subject to the rules for outbound traffic (and vice versa.)</w:t>
      </w:r>
      <w:r w:rsidRPr="008F381F">
        <w:rPr>
          <w:rStyle w:val="normaltextrun"/>
          <w:i/>
          <w:iCs/>
        </w:rPr>
        <w:t> </w:t>
      </w:r>
    </w:p>
    <w:tbl>
      <w:tblPr>
        <w:tblStyle w:val="TableGrid"/>
        <w:tblW w:w="0" w:type="auto"/>
        <w:tblLook w:val="04A0" w:firstRow="1" w:lastRow="0" w:firstColumn="1" w:lastColumn="0" w:noHBand="0" w:noVBand="1"/>
      </w:tblPr>
      <w:tblGrid>
        <w:gridCol w:w="4508"/>
        <w:gridCol w:w="4508"/>
      </w:tblGrid>
      <w:tr w:rsidR="00C26B1B" w14:paraId="5177DC42" w14:textId="77777777" w:rsidTr="00CC17DD">
        <w:tc>
          <w:tcPr>
            <w:tcW w:w="4508" w:type="dxa"/>
          </w:tcPr>
          <w:p w14:paraId="3EA6F34D" w14:textId="320AEB00"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i/>
                <w:iCs/>
                <w:sz w:val="24"/>
                <w:szCs w:val="24"/>
                <w:lang w:eastAsia="en-US"/>
              </w:rPr>
              <w:t>Security group</w:t>
            </w:r>
          </w:p>
        </w:tc>
        <w:tc>
          <w:tcPr>
            <w:tcW w:w="4508" w:type="dxa"/>
          </w:tcPr>
          <w:p w14:paraId="25D0AC89" w14:textId="67E61ACA"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i/>
                <w:iCs/>
                <w:sz w:val="24"/>
                <w:szCs w:val="24"/>
                <w:lang w:eastAsia="en-US"/>
              </w:rPr>
              <w:t>Network ACL</w:t>
            </w:r>
          </w:p>
        </w:tc>
      </w:tr>
      <w:tr w:rsidR="00C26B1B" w14:paraId="4EDCCC12" w14:textId="77777777" w:rsidTr="00CC17DD">
        <w:tc>
          <w:tcPr>
            <w:tcW w:w="4508" w:type="dxa"/>
          </w:tcPr>
          <w:p w14:paraId="7E49BDAB" w14:textId="019EB5A4"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lastRenderedPageBreak/>
              <w:t>Operates at the instance level</w:t>
            </w:r>
          </w:p>
        </w:tc>
        <w:tc>
          <w:tcPr>
            <w:tcW w:w="4508" w:type="dxa"/>
          </w:tcPr>
          <w:p w14:paraId="6DFE4653" w14:textId="40AB0A87"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Operates at the subnet level</w:t>
            </w:r>
          </w:p>
        </w:tc>
      </w:tr>
      <w:tr w:rsidR="00C26B1B" w14:paraId="40BFA3CB" w14:textId="77777777" w:rsidTr="00CC17DD">
        <w:tc>
          <w:tcPr>
            <w:tcW w:w="4508" w:type="dxa"/>
          </w:tcPr>
          <w:p w14:paraId="078DBA5D" w14:textId="7CBFAE7D"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Supports allow rules only</w:t>
            </w:r>
          </w:p>
        </w:tc>
        <w:tc>
          <w:tcPr>
            <w:tcW w:w="4508" w:type="dxa"/>
          </w:tcPr>
          <w:p w14:paraId="633343DF" w14:textId="6095E7B8"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Supports allow rules and deny rules</w:t>
            </w:r>
          </w:p>
        </w:tc>
      </w:tr>
      <w:tr w:rsidR="00C26B1B" w14:paraId="55F4CC5A" w14:textId="77777777" w:rsidTr="00CC17DD">
        <w:tc>
          <w:tcPr>
            <w:tcW w:w="4508" w:type="dxa"/>
          </w:tcPr>
          <w:p w14:paraId="12FB7E29" w14:textId="71E776DA"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Is stateful: Return traffic is automatically allowed, regardless of any rules</w:t>
            </w:r>
          </w:p>
        </w:tc>
        <w:tc>
          <w:tcPr>
            <w:tcW w:w="4508" w:type="dxa"/>
          </w:tcPr>
          <w:p w14:paraId="5523B572" w14:textId="57C77072"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Is stateless: Return traffic must be explicitly allowed by rules</w:t>
            </w:r>
          </w:p>
        </w:tc>
      </w:tr>
      <w:tr w:rsidR="00C26B1B" w14:paraId="5403F0E8" w14:textId="77777777" w:rsidTr="00CC17DD">
        <w:tc>
          <w:tcPr>
            <w:tcW w:w="4508" w:type="dxa"/>
          </w:tcPr>
          <w:p w14:paraId="2B506ECA" w14:textId="1931AAF2"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We evaluate all rules before deciding whether to allow traffic</w:t>
            </w:r>
          </w:p>
        </w:tc>
        <w:tc>
          <w:tcPr>
            <w:tcW w:w="4508" w:type="dxa"/>
          </w:tcPr>
          <w:p w14:paraId="47B709E8" w14:textId="2177BE1D"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We process rules in order, starting with the lowest numbered rule, when deciding whether to allow traffic</w:t>
            </w:r>
          </w:p>
        </w:tc>
      </w:tr>
      <w:tr w:rsidR="00C26B1B" w14:paraId="09178885" w14:textId="77777777" w:rsidTr="00CC17DD">
        <w:tc>
          <w:tcPr>
            <w:tcW w:w="4508" w:type="dxa"/>
          </w:tcPr>
          <w:p w14:paraId="363DD623" w14:textId="09C51ADB"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 xml:space="preserve">Applies to an instance only if someone specifies the security group when launching the instance, or associates the security group with the instance </w:t>
            </w:r>
            <w:proofErr w:type="gramStart"/>
            <w:r w:rsidRPr="00C26B1B">
              <w:rPr>
                <w:rStyle w:val="normaltextrun"/>
                <w:rFonts w:ascii="Calibri" w:hAnsi="Calibri" w:cs="Calibri"/>
                <w:b w:val="0"/>
                <w:bCs w:val="0"/>
                <w:i/>
                <w:iCs/>
                <w:sz w:val="24"/>
                <w:szCs w:val="24"/>
                <w:lang w:eastAsia="en-US"/>
              </w:rPr>
              <w:t>later on</w:t>
            </w:r>
            <w:proofErr w:type="gramEnd"/>
          </w:p>
        </w:tc>
        <w:tc>
          <w:tcPr>
            <w:tcW w:w="4508" w:type="dxa"/>
          </w:tcPr>
          <w:p w14:paraId="7D4CDF18" w14:textId="69A3FF80" w:rsidR="00C26B1B" w:rsidRPr="00C26B1B" w:rsidRDefault="00C26B1B" w:rsidP="00C26B1B">
            <w:pPr>
              <w:pStyle w:val="Heading2"/>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 xml:space="preserve">Automatically applies to all instances in the subnets that </w:t>
            </w:r>
            <w:proofErr w:type="gramStart"/>
            <w:r w:rsidRPr="00C26B1B">
              <w:rPr>
                <w:rStyle w:val="normaltextrun"/>
                <w:rFonts w:ascii="Calibri" w:hAnsi="Calibri" w:cs="Calibri"/>
                <w:b w:val="0"/>
                <w:bCs w:val="0"/>
                <w:i/>
                <w:iCs/>
                <w:sz w:val="24"/>
                <w:szCs w:val="24"/>
                <w:lang w:eastAsia="en-US"/>
              </w:rPr>
              <w:t>it's</w:t>
            </w:r>
            <w:proofErr w:type="gramEnd"/>
            <w:r w:rsidRPr="00C26B1B">
              <w:rPr>
                <w:rStyle w:val="normaltextrun"/>
                <w:rFonts w:ascii="Calibri" w:hAnsi="Calibri" w:cs="Calibri"/>
                <w:b w:val="0"/>
                <w:bCs w:val="0"/>
                <w:i/>
                <w:iCs/>
                <w:sz w:val="24"/>
                <w:szCs w:val="24"/>
                <w:lang w:eastAsia="en-US"/>
              </w:rPr>
              <w:t xml:space="preserve"> associated with (therefore, it provides an additional layer of defense if the security group rules are too permissive)</w:t>
            </w:r>
          </w:p>
        </w:tc>
      </w:tr>
    </w:tbl>
    <w:p w14:paraId="05E67C27" w14:textId="1BEBB66D" w:rsidR="00C26B1B" w:rsidRPr="00C26B1B" w:rsidRDefault="00C26B1B" w:rsidP="008E7718">
      <w:pPr>
        <w:pStyle w:val="Heading2"/>
        <w:pBdr>
          <w:bottom w:val="single" w:sz="6" w:space="2" w:color="AAAAAA"/>
        </w:pBdr>
        <w:shd w:val="clear" w:color="auto" w:fill="FFFFFF"/>
        <w:spacing w:before="0" w:beforeAutospacing="0" w:after="144" w:afterAutospacing="0"/>
        <w:rPr>
          <w:rStyle w:val="normaltextrun"/>
          <w:rFonts w:ascii="Calibri" w:hAnsi="Calibri" w:cs="Calibri"/>
          <w:b w:val="0"/>
          <w:bCs w:val="0"/>
          <w:i/>
          <w:iCs/>
          <w:sz w:val="24"/>
          <w:szCs w:val="24"/>
          <w:lang w:eastAsia="en-US"/>
        </w:rPr>
      </w:pPr>
      <w:r w:rsidRPr="00C26B1B">
        <w:rPr>
          <w:rStyle w:val="normaltextrun"/>
          <w:rFonts w:ascii="Calibri" w:hAnsi="Calibri" w:cs="Calibri"/>
          <w:b w:val="0"/>
          <w:bCs w:val="0"/>
          <w:i/>
          <w:iCs/>
          <w:sz w:val="24"/>
          <w:szCs w:val="24"/>
          <w:lang w:eastAsia="en-US"/>
        </w:rPr>
        <w:t xml:space="preserve">The following diagram illustrates the layers of security provided by security groups and network ACLs. For example, traffic from an internet gateway is routed to the appropriate subnet using the routes in the routing table. The rules of the network ACL that is associated with the subnet control which traffic </w:t>
      </w:r>
      <w:proofErr w:type="gramStart"/>
      <w:r w:rsidRPr="00C26B1B">
        <w:rPr>
          <w:rStyle w:val="normaltextrun"/>
          <w:rFonts w:ascii="Calibri" w:hAnsi="Calibri" w:cs="Calibri"/>
          <w:b w:val="0"/>
          <w:bCs w:val="0"/>
          <w:i/>
          <w:iCs/>
          <w:sz w:val="24"/>
          <w:szCs w:val="24"/>
          <w:lang w:eastAsia="en-US"/>
        </w:rPr>
        <w:t>is allowed to</w:t>
      </w:r>
      <w:proofErr w:type="gramEnd"/>
      <w:r w:rsidRPr="00C26B1B">
        <w:rPr>
          <w:rStyle w:val="normaltextrun"/>
          <w:rFonts w:ascii="Calibri" w:hAnsi="Calibri" w:cs="Calibri"/>
          <w:b w:val="0"/>
          <w:bCs w:val="0"/>
          <w:i/>
          <w:iCs/>
          <w:sz w:val="24"/>
          <w:szCs w:val="24"/>
          <w:lang w:eastAsia="en-US"/>
        </w:rPr>
        <w:t xml:space="preserve"> the subnet. The rules of the security group that is associated with an instance control which traffic </w:t>
      </w:r>
      <w:proofErr w:type="gramStart"/>
      <w:r w:rsidRPr="00C26B1B">
        <w:rPr>
          <w:rStyle w:val="normaltextrun"/>
          <w:rFonts w:ascii="Calibri" w:hAnsi="Calibri" w:cs="Calibri"/>
          <w:b w:val="0"/>
          <w:bCs w:val="0"/>
          <w:i/>
          <w:iCs/>
          <w:sz w:val="24"/>
          <w:szCs w:val="24"/>
          <w:lang w:eastAsia="en-US"/>
        </w:rPr>
        <w:t>is allowed to</w:t>
      </w:r>
      <w:proofErr w:type="gramEnd"/>
      <w:r w:rsidRPr="00C26B1B">
        <w:rPr>
          <w:rStyle w:val="normaltextrun"/>
          <w:rFonts w:ascii="Calibri" w:hAnsi="Calibri" w:cs="Calibri"/>
          <w:b w:val="0"/>
          <w:bCs w:val="0"/>
          <w:i/>
          <w:iCs/>
          <w:sz w:val="24"/>
          <w:szCs w:val="24"/>
          <w:lang w:eastAsia="en-US"/>
        </w:rPr>
        <w:t xml:space="preserve"> the instance.</w:t>
      </w:r>
    </w:p>
    <w:p w14:paraId="2D19A832" w14:textId="283DC131" w:rsidR="008D2F84" w:rsidRDefault="00A92725" w:rsidP="00931223">
      <w:pPr>
        <w:pStyle w:val="Heading2"/>
        <w:pBdr>
          <w:bottom w:val="single" w:sz="6" w:space="2" w:color="AAAAAA"/>
        </w:pBdr>
        <w:shd w:val="clear" w:color="auto" w:fill="FFFFFF"/>
        <w:spacing w:before="0" w:beforeAutospacing="0" w:after="144" w:afterAutospacing="0"/>
        <w:jc w:val="center"/>
        <w:rPr>
          <w:rStyle w:val="mw-headline"/>
          <w:rFonts w:asciiTheme="minorHAnsi" w:hAnsiTheme="minorHAnsi" w:cstheme="minorHAnsi"/>
          <w:color w:val="000000"/>
          <w:sz w:val="29"/>
          <w:szCs w:val="29"/>
        </w:rPr>
      </w:pPr>
      <w:r>
        <w:rPr>
          <w:noProof/>
        </w:rPr>
        <w:drawing>
          <wp:inline distT="0" distB="0" distL="0" distR="0" wp14:anchorId="6FF831F9" wp14:editId="7506FDA6">
            <wp:extent cx="4564380" cy="5151120"/>
            <wp:effectExtent l="0" t="0" r="7620" b="0"/>
            <wp:docPr id="1" name="Picture 1" descr="&#10;        Traffic is controlled using security groups and network ACL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raffic is controlled using security groups and network ACLs&#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5151120"/>
                    </a:xfrm>
                    <a:prstGeom prst="rect">
                      <a:avLst/>
                    </a:prstGeom>
                    <a:noFill/>
                    <a:ln>
                      <a:noFill/>
                    </a:ln>
                  </pic:spPr>
                </pic:pic>
              </a:graphicData>
            </a:graphic>
          </wp:inline>
        </w:drawing>
      </w:r>
    </w:p>
    <w:p w14:paraId="26B6CEAB" w14:textId="1CF1B8B9" w:rsidR="008D2F84" w:rsidRDefault="008D2F84"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00484B21" w14:textId="77777777" w:rsidR="008F381F" w:rsidRDefault="008F381F"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7E785DF1" w14:textId="4C5652E4"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Use cases / </w:t>
      </w:r>
      <w:proofErr w:type="gramStart"/>
      <w:r>
        <w:rPr>
          <w:rStyle w:val="mw-headline"/>
          <w:rFonts w:asciiTheme="minorHAnsi" w:hAnsiTheme="minorHAnsi" w:cstheme="minorHAnsi"/>
          <w:color w:val="000000"/>
          <w:sz w:val="29"/>
          <w:szCs w:val="29"/>
        </w:rPr>
        <w:t>Considerations</w:t>
      </w:r>
      <w:proofErr w:type="gramEnd"/>
    </w:p>
    <w:p w14:paraId="3DCFBE00" w14:textId="0D965A42" w:rsidR="0074513A" w:rsidRPr="0074513A" w:rsidRDefault="00C26B1B" w:rsidP="0074513A">
      <w:pPr>
        <w:numPr>
          <w:ilvl w:val="0"/>
          <w:numId w:val="8"/>
        </w:numPr>
        <w:shd w:val="clear" w:color="auto" w:fill="FFFFFF"/>
        <w:spacing w:line="360" w:lineRule="atLeast"/>
        <w:rPr>
          <w:rFonts w:cstheme="minorHAnsi"/>
          <w:i/>
          <w:iCs/>
        </w:rPr>
      </w:pPr>
      <w:r>
        <w:rPr>
          <w:rFonts w:cstheme="minorHAnsi"/>
          <w:i/>
          <w:iCs/>
        </w:rPr>
        <w:t>Secure</w:t>
      </w:r>
      <w:r w:rsidR="00B21142">
        <w:rPr>
          <w:rFonts w:cstheme="minorHAnsi"/>
          <w:i/>
          <w:iCs/>
        </w:rPr>
        <w:t xml:space="preserve"> you </w:t>
      </w:r>
      <w:proofErr w:type="gramStart"/>
      <w:r w:rsidR="00B21142">
        <w:rPr>
          <w:rFonts w:cstheme="minorHAnsi"/>
          <w:i/>
          <w:iCs/>
        </w:rPr>
        <w:t>data</w:t>
      </w:r>
      <w:proofErr w:type="gramEnd"/>
    </w:p>
    <w:p w14:paraId="1813E8D5" w14:textId="77777777" w:rsidR="00AA05FE" w:rsidRPr="00AA05FE" w:rsidRDefault="00AA05FE" w:rsidP="00AA05FE">
      <w:pPr>
        <w:rPr>
          <w:rFonts w:cstheme="minorHAnsi"/>
          <w:i/>
          <w:iCs/>
        </w:rPr>
      </w:pPr>
    </w:p>
    <w:p w14:paraId="6A79B9E6" w14:textId="77777777" w:rsidR="008E7718" w:rsidRPr="008E7718" w:rsidRDefault="008E7718" w:rsidP="008E7718">
      <w:pPr>
        <w:rPr>
          <w:rFonts w:cstheme="minorHAnsi"/>
          <w:i/>
          <w:iCs/>
          <w:sz w:val="32"/>
          <w:szCs w:val="32"/>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14:paraId="3C8B3249" w14:textId="75D3B612" w:rsidR="008E7718" w:rsidRDefault="008E7718" w:rsidP="008E7718">
      <w:pPr>
        <w:rPr>
          <w:rFonts w:cstheme="minorHAnsi"/>
          <w:sz w:val="32"/>
          <w:szCs w:val="32"/>
        </w:rPr>
      </w:pPr>
    </w:p>
    <w:p w14:paraId="5825709F" w14:textId="29435442"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17042FB0" w14:textId="3FACD48A" w:rsidR="00066558" w:rsidRPr="00E45708" w:rsidRDefault="00FF40C9" w:rsidP="00E45708">
      <w:pPr>
        <w:pStyle w:val="ListParagraph"/>
        <w:numPr>
          <w:ilvl w:val="0"/>
          <w:numId w:val="18"/>
        </w:numPr>
        <w:rPr>
          <w:rFonts w:cstheme="minorHAnsi"/>
        </w:rPr>
      </w:pPr>
      <w:r w:rsidRPr="00E45708">
        <w:rPr>
          <w:rFonts w:cstheme="minorHAnsi"/>
          <w:b/>
          <w:bCs/>
        </w:rPr>
        <w:t>Network ACLs per VPC</w:t>
      </w:r>
      <w:r w:rsidRPr="00E45708">
        <w:rPr>
          <w:rFonts w:cstheme="minorHAnsi"/>
        </w:rPr>
        <w:t xml:space="preserve"> </w:t>
      </w:r>
      <w:r w:rsidR="007E4A97" w:rsidRPr="00E45708">
        <w:rPr>
          <w:rFonts w:cstheme="minorHAnsi"/>
        </w:rPr>
        <w:t xml:space="preserve">- </w:t>
      </w:r>
      <w:r w:rsidRPr="00E45708">
        <w:rPr>
          <w:rFonts w:cstheme="minorHAnsi"/>
        </w:rPr>
        <w:t>2000</w:t>
      </w:r>
      <w:r w:rsidR="00413FE8" w:rsidRPr="00E45708">
        <w:rPr>
          <w:rFonts w:cstheme="minorHAnsi"/>
        </w:rPr>
        <w:t>.</w:t>
      </w:r>
      <w:r w:rsidRPr="00E45708">
        <w:rPr>
          <w:rFonts w:cstheme="minorHAnsi"/>
        </w:rPr>
        <w:t xml:space="preserve"> You can associate one network ACL to one or more subnets in a VPC. This quota is not the same as the number of rules per network ACL.</w:t>
      </w:r>
    </w:p>
    <w:p w14:paraId="36DB381B" w14:textId="02B513F8" w:rsidR="006076A9" w:rsidRPr="00E45708" w:rsidRDefault="00413FE8" w:rsidP="00E45708">
      <w:pPr>
        <w:pStyle w:val="ListParagraph"/>
        <w:numPr>
          <w:ilvl w:val="0"/>
          <w:numId w:val="18"/>
        </w:numPr>
        <w:rPr>
          <w:rFonts w:cstheme="minorHAnsi"/>
        </w:rPr>
      </w:pPr>
      <w:r w:rsidRPr="00E45708">
        <w:rPr>
          <w:rFonts w:cstheme="minorHAnsi"/>
          <w:b/>
          <w:bCs/>
        </w:rPr>
        <w:t>Rules per network ACL</w:t>
      </w:r>
      <w:r w:rsidRPr="00E45708">
        <w:rPr>
          <w:rFonts w:cstheme="minorHAnsi"/>
        </w:rPr>
        <w:t xml:space="preserve"> </w:t>
      </w:r>
      <w:r w:rsidR="007E4A97" w:rsidRPr="00E45708">
        <w:rPr>
          <w:rFonts w:cstheme="minorHAnsi"/>
        </w:rPr>
        <w:t xml:space="preserve">- </w:t>
      </w:r>
      <w:commentRangeStart w:id="0"/>
      <w:r w:rsidRPr="00E45708">
        <w:rPr>
          <w:rFonts w:cstheme="minorHAnsi"/>
        </w:rPr>
        <w:t>20</w:t>
      </w:r>
      <w:commentRangeEnd w:id="0"/>
      <w:r w:rsidR="006076A9" w:rsidRPr="007E4A97">
        <w:commentReference w:id="0"/>
      </w:r>
      <w:r w:rsidRPr="00E45708">
        <w:rPr>
          <w:rFonts w:cstheme="minorHAnsi"/>
        </w:rPr>
        <w:t>.</w:t>
      </w:r>
      <w:r w:rsidR="006076A9" w:rsidRPr="00E45708">
        <w:rPr>
          <w:rFonts w:cstheme="minorHAnsi"/>
        </w:rPr>
        <w:t xml:space="preserve"> This is the one-way quota for a single network ACL. This quota is enforced separately for IPv4 rules and IPv6 rules; for example, you can have 20 ingress rules for IPv4 traffic and 20 ingress rules for IPv6 traffic. This quota includes the default deny rules (rule number 32767 for IPv4 and 32768 for IPv6, or an asterisk * in the Amazon VPC console).</w:t>
      </w:r>
    </w:p>
    <w:p w14:paraId="130445D1" w14:textId="77777777" w:rsidR="006076A9" w:rsidRPr="00E45708" w:rsidRDefault="006076A9" w:rsidP="00E45708">
      <w:pPr>
        <w:pStyle w:val="ListParagraph"/>
        <w:numPr>
          <w:ilvl w:val="0"/>
          <w:numId w:val="18"/>
        </w:numPr>
        <w:rPr>
          <w:rFonts w:cstheme="minorHAnsi"/>
        </w:rPr>
      </w:pPr>
      <w:r w:rsidRPr="00E45708">
        <w:rPr>
          <w:rFonts w:cstheme="minorHAnsi"/>
        </w:rPr>
        <w:t xml:space="preserve">This quota can be increased up to a maximum of 40; however, network performance might be impacted due to the increased workload to process the additional </w:t>
      </w:r>
      <w:proofErr w:type="gramStart"/>
      <w:r w:rsidRPr="00E45708">
        <w:rPr>
          <w:rFonts w:cstheme="minorHAnsi"/>
        </w:rPr>
        <w:t>rules</w:t>
      </w:r>
      <w:proofErr w:type="gramEnd"/>
    </w:p>
    <w:p w14:paraId="5D38551E" w14:textId="7891743B" w:rsidR="006F4F6E" w:rsidRPr="00E45708" w:rsidRDefault="006F4F6E" w:rsidP="00E45708">
      <w:pPr>
        <w:pStyle w:val="ListParagraph"/>
        <w:numPr>
          <w:ilvl w:val="0"/>
          <w:numId w:val="18"/>
        </w:numPr>
        <w:rPr>
          <w:rFonts w:cstheme="minorHAnsi"/>
        </w:rPr>
      </w:pPr>
      <w:r w:rsidRPr="00E45708">
        <w:rPr>
          <w:rFonts w:cstheme="minorHAnsi"/>
          <w:b/>
          <w:bCs/>
        </w:rPr>
        <w:t>VPC security groups per Region</w:t>
      </w:r>
      <w:r w:rsidRPr="00E45708">
        <w:rPr>
          <w:rFonts w:cstheme="minorHAnsi"/>
        </w:rPr>
        <w:t xml:space="preserve"> – 2500. This quota applies to individual AWS account VPCs and shared VPCs.</w:t>
      </w:r>
      <w:r w:rsidR="007E4A97" w:rsidRPr="00E45708">
        <w:rPr>
          <w:rFonts w:cstheme="minorHAnsi"/>
        </w:rPr>
        <w:t xml:space="preserve"> </w:t>
      </w:r>
      <w:r w:rsidRPr="00E45708">
        <w:rPr>
          <w:rFonts w:cstheme="minorHAnsi"/>
        </w:rPr>
        <w:t>If you increase this quota to more than 5000 security groups in a Region, we recommend that you paginate calls to describe your security groups for better performance.</w:t>
      </w:r>
    </w:p>
    <w:p w14:paraId="1333445B" w14:textId="7C852DFD" w:rsidR="006F4F6E" w:rsidRPr="00E45708" w:rsidRDefault="006F4F6E" w:rsidP="00E45708">
      <w:pPr>
        <w:pStyle w:val="ListParagraph"/>
        <w:numPr>
          <w:ilvl w:val="0"/>
          <w:numId w:val="18"/>
        </w:numPr>
        <w:rPr>
          <w:rFonts w:cstheme="minorHAnsi"/>
        </w:rPr>
      </w:pPr>
      <w:r w:rsidRPr="00E45708">
        <w:rPr>
          <w:rFonts w:cstheme="minorHAnsi"/>
          <w:b/>
          <w:bCs/>
        </w:rPr>
        <w:t>Inbound or outbound rules per security group</w:t>
      </w:r>
      <w:r w:rsidR="007E4A97" w:rsidRPr="00E45708">
        <w:rPr>
          <w:rFonts w:cstheme="minorHAnsi"/>
        </w:rPr>
        <w:t xml:space="preserve"> – </w:t>
      </w:r>
      <w:r w:rsidRPr="00E45708">
        <w:rPr>
          <w:rFonts w:cstheme="minorHAnsi"/>
        </w:rPr>
        <w:t>60</w:t>
      </w:r>
      <w:r w:rsidR="007E4A97" w:rsidRPr="00E45708">
        <w:rPr>
          <w:rFonts w:cstheme="minorHAnsi"/>
        </w:rPr>
        <w:t xml:space="preserve">.  </w:t>
      </w:r>
      <w:r w:rsidRPr="00E45708">
        <w:rPr>
          <w:rFonts w:cstheme="minorHAnsi"/>
        </w:rPr>
        <w:t>You can have 60 inbound and 60 outbound rules per security group (making a total of 120 rules). This quota is enforced separately for IPv4 rules and IPv6 rules; for example, a security group can have 60 inbound rules for IPv4 traffic and 60 inbound rules for IPv6 traffic. A rule that references a security group or AWS-managed prefix list ID counts as one rule for IPv4 and one rule for IPv6.</w:t>
      </w:r>
    </w:p>
    <w:p w14:paraId="05D3D0F8" w14:textId="364B9AB6" w:rsidR="006F4F6E" w:rsidRPr="00E45708" w:rsidRDefault="006F4F6E" w:rsidP="00E45708">
      <w:pPr>
        <w:pStyle w:val="ListParagraph"/>
        <w:numPr>
          <w:ilvl w:val="0"/>
          <w:numId w:val="18"/>
        </w:numPr>
        <w:rPr>
          <w:rFonts w:cstheme="minorHAnsi"/>
        </w:rPr>
      </w:pPr>
      <w:r w:rsidRPr="00E45708">
        <w:rPr>
          <w:rFonts w:cstheme="minorHAnsi"/>
        </w:rPr>
        <w:t>A quota change applies to both inbound and outbound rules. This quota multiplied by the quota for security groups per network interface cannot exceed 1000. For example, if you increase this quota to 100, we decrease the quota for your number of security groups per network interface to 10.</w:t>
      </w:r>
    </w:p>
    <w:p w14:paraId="0892D8B4" w14:textId="0184116D" w:rsidR="006F4F6E" w:rsidRPr="00E45708" w:rsidRDefault="006F4F6E" w:rsidP="00E45708">
      <w:pPr>
        <w:pStyle w:val="ListParagraph"/>
        <w:numPr>
          <w:ilvl w:val="0"/>
          <w:numId w:val="18"/>
        </w:numPr>
        <w:rPr>
          <w:rFonts w:cstheme="minorHAnsi"/>
        </w:rPr>
      </w:pPr>
      <w:r w:rsidRPr="00E45708">
        <w:rPr>
          <w:rFonts w:cstheme="minorHAnsi"/>
        </w:rPr>
        <w:t>If you reference a customer-managed prefix list in a security group rule, the maximum number of entries for the prefix lists equals the same number of security group rules.</w:t>
      </w:r>
    </w:p>
    <w:p w14:paraId="2EA9A5BA" w14:textId="228D859F" w:rsidR="006076A9" w:rsidRPr="00E45708" w:rsidRDefault="006F4F6E" w:rsidP="00E45708">
      <w:pPr>
        <w:pStyle w:val="ListParagraph"/>
        <w:numPr>
          <w:ilvl w:val="0"/>
          <w:numId w:val="18"/>
        </w:numPr>
        <w:rPr>
          <w:rFonts w:cstheme="minorHAnsi"/>
        </w:rPr>
      </w:pPr>
      <w:r w:rsidRPr="00E45708">
        <w:rPr>
          <w:rFonts w:cstheme="minorHAnsi"/>
          <w:b/>
          <w:bCs/>
        </w:rPr>
        <w:t>Security groups per network interface</w:t>
      </w:r>
      <w:r w:rsidR="007E4A97" w:rsidRPr="00E45708">
        <w:rPr>
          <w:rFonts w:cstheme="minorHAnsi"/>
        </w:rPr>
        <w:t xml:space="preserve"> – </w:t>
      </w:r>
      <w:r w:rsidRPr="00E45708">
        <w:rPr>
          <w:rFonts w:cstheme="minorHAnsi"/>
        </w:rPr>
        <w:t>5</w:t>
      </w:r>
      <w:r w:rsidR="007E4A97" w:rsidRPr="00E45708">
        <w:rPr>
          <w:rFonts w:cstheme="minorHAnsi"/>
        </w:rPr>
        <w:t xml:space="preserve">. </w:t>
      </w:r>
      <w:r w:rsidRPr="00E45708">
        <w:rPr>
          <w:rFonts w:cstheme="minorHAnsi"/>
        </w:rPr>
        <w:t>The maximum is 16. This quota is enforced separately for IPv4 rules and IPv6 rules. The quota for security groups per network interface multiplied by the quota for rules per security group cannot exceed 1000. For example, if you increase this quota to 10, we decrease the quota for your number of rules per security group to 100.</w:t>
      </w:r>
    </w:p>
    <w:p w14:paraId="44FE99AE" w14:textId="77777777" w:rsidR="006F4F6E" w:rsidRPr="006076A9" w:rsidRDefault="006F4F6E" w:rsidP="008E7718">
      <w:pPr>
        <w:pStyle w:val="Heading2"/>
        <w:pBdr>
          <w:bottom w:val="single" w:sz="6" w:space="2" w:color="AAAAAA"/>
        </w:pBdr>
        <w:shd w:val="clear" w:color="auto" w:fill="FFFFFF"/>
        <w:spacing w:before="0" w:beforeAutospacing="0" w:after="144" w:afterAutospacing="0"/>
        <w:rPr>
          <w:rStyle w:val="normaltextrun"/>
          <w:rFonts w:ascii="Calibri" w:hAnsi="Calibri" w:cs="Calibri"/>
          <w:b w:val="0"/>
          <w:bCs w:val="0"/>
          <w:i/>
          <w:iCs/>
          <w:sz w:val="24"/>
          <w:szCs w:val="24"/>
          <w:lang w:eastAsia="en-US"/>
        </w:rPr>
      </w:pPr>
    </w:p>
    <w:p w14:paraId="09436269" w14:textId="77777777" w:rsidR="00413FE8" w:rsidRDefault="00413FE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Pricing considerations</w:t>
      </w:r>
    </w:p>
    <w:p w14:paraId="389960C1" w14:textId="7921D0B9" w:rsidR="006C3A42" w:rsidRPr="00D12729" w:rsidRDefault="006C3A42" w:rsidP="008E7718">
      <w:pPr>
        <w:rPr>
          <w:rFonts w:cstheme="minorHAnsi"/>
          <w:i/>
          <w:iCs/>
        </w:rPr>
      </w:pPr>
      <w:r w:rsidRPr="00D12729">
        <w:rPr>
          <w:rFonts w:cstheme="minorHAnsi"/>
          <w:i/>
          <w:iCs/>
        </w:rPr>
        <w:t>https://aws.amazon.com/vpc/pricing/</w:t>
      </w:r>
    </w:p>
    <w:p w14:paraId="1A486C08" w14:textId="77777777" w:rsidR="008E7718" w:rsidRPr="008E7718" w:rsidRDefault="008E7718" w:rsidP="008E7718">
      <w:pPr>
        <w:rPr>
          <w:rFonts w:cstheme="minorHAnsi"/>
          <w:sz w:val="32"/>
          <w:szCs w:val="32"/>
        </w:rPr>
      </w:pPr>
    </w:p>
    <w:p w14:paraId="59CE344F" w14:textId="77777777" w:rsidR="008E7718" w:rsidRPr="008E7718" w:rsidRDefault="008E7718" w:rsidP="008E7718">
      <w:pPr>
        <w:rPr>
          <w:rFonts w:cstheme="minorHAnsi"/>
          <w:sz w:val="32"/>
          <w:szCs w:val="32"/>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14:paraId="578D2E6B" w14:textId="7513F473" w:rsidR="00FE0386" w:rsidRPr="005F532A" w:rsidRDefault="00066558" w:rsidP="00066558">
      <w:pPr>
        <w:rPr>
          <w:rFonts w:cstheme="minorHAnsi"/>
          <w:i/>
          <w:iCs/>
        </w:rPr>
      </w:pPr>
      <w:r w:rsidRPr="00066558">
        <w:t>https://docs.aws.amazon.com/vpc/latest/userguide/security.html</w:t>
      </w:r>
    </w:p>
    <w:sectPr w:rsidR="00FE0386" w:rsidRPr="005F53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i Niasiuk" w:date="2021-04-21T14:14:00Z" w:initials="AN">
    <w:p w14:paraId="60033187" w14:textId="758FE254" w:rsidR="006076A9" w:rsidRDefault="006076A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331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1DD" w16cex:dateUtc="2021-04-21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33187" w16cid:durableId="242AB1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FAE"/>
    <w:multiLevelType w:val="multilevel"/>
    <w:tmpl w:val="371A441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AC3"/>
    <w:multiLevelType w:val="multilevel"/>
    <w:tmpl w:val="5F4A1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774A24"/>
    <w:multiLevelType w:val="multilevel"/>
    <w:tmpl w:val="05D8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316A7"/>
    <w:multiLevelType w:val="multilevel"/>
    <w:tmpl w:val="8C1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2957"/>
    <w:multiLevelType w:val="multilevel"/>
    <w:tmpl w:val="72E4F8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C713B"/>
    <w:multiLevelType w:val="multilevel"/>
    <w:tmpl w:val="5F4A1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496D35"/>
    <w:multiLevelType w:val="multilevel"/>
    <w:tmpl w:val="D75EA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E51553"/>
    <w:multiLevelType w:val="multilevel"/>
    <w:tmpl w:val="AABEEB9C"/>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2C0BA1"/>
    <w:multiLevelType w:val="multilevel"/>
    <w:tmpl w:val="C80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E1D5D"/>
    <w:multiLevelType w:val="multilevel"/>
    <w:tmpl w:val="493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AC398D"/>
    <w:multiLevelType w:val="multilevel"/>
    <w:tmpl w:val="0B0A0360"/>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EB12F8"/>
    <w:multiLevelType w:val="hybridMultilevel"/>
    <w:tmpl w:val="EFF066CA"/>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81AF3"/>
    <w:multiLevelType w:val="hybridMultilevel"/>
    <w:tmpl w:val="6226E64E"/>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31A14"/>
    <w:multiLevelType w:val="hybridMultilevel"/>
    <w:tmpl w:val="5C9EB11A"/>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741F8"/>
    <w:multiLevelType w:val="multilevel"/>
    <w:tmpl w:val="F4DE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D902BE"/>
    <w:multiLevelType w:val="multilevel"/>
    <w:tmpl w:val="D2A0C17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04888"/>
    <w:multiLevelType w:val="multilevel"/>
    <w:tmpl w:val="AABEEB9C"/>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C1E5B9C"/>
    <w:multiLevelType w:val="hybridMultilevel"/>
    <w:tmpl w:val="999A535C"/>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15"/>
  </w:num>
  <w:num w:numId="5">
    <w:abstractNumId w:val="4"/>
  </w:num>
  <w:num w:numId="6">
    <w:abstractNumId w:val="2"/>
  </w:num>
  <w:num w:numId="7">
    <w:abstractNumId w:val="8"/>
  </w:num>
  <w:num w:numId="8">
    <w:abstractNumId w:val="0"/>
  </w:num>
  <w:num w:numId="9">
    <w:abstractNumId w:val="11"/>
  </w:num>
  <w:num w:numId="10">
    <w:abstractNumId w:val="3"/>
  </w:num>
  <w:num w:numId="11">
    <w:abstractNumId w:val="17"/>
  </w:num>
  <w:num w:numId="12">
    <w:abstractNumId w:val="14"/>
  </w:num>
  <w:num w:numId="13">
    <w:abstractNumId w:val="5"/>
  </w:num>
  <w:num w:numId="14">
    <w:abstractNumId w:val="6"/>
  </w:num>
  <w:num w:numId="15">
    <w:abstractNumId w:val="1"/>
  </w:num>
  <w:num w:numId="16">
    <w:abstractNumId w:val="7"/>
  </w:num>
  <w:num w:numId="17">
    <w:abstractNumId w:val="16"/>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i Niasiuk">
    <w15:presenceInfo w15:providerId="AD" w15:userId="S::Andrei_Niasiuk@epam.com::b4ae92c5-bfc5-4e57-9f3a-1e8aab5e4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66558"/>
    <w:rsid w:val="00083CA7"/>
    <w:rsid w:val="000D380F"/>
    <w:rsid w:val="000E721C"/>
    <w:rsid w:val="00111553"/>
    <w:rsid w:val="001467A9"/>
    <w:rsid w:val="00166A25"/>
    <w:rsid w:val="001E0089"/>
    <w:rsid w:val="001E7E08"/>
    <w:rsid w:val="001F10E6"/>
    <w:rsid w:val="0020791E"/>
    <w:rsid w:val="00232358"/>
    <w:rsid w:val="002C5CD0"/>
    <w:rsid w:val="0030004F"/>
    <w:rsid w:val="00305E61"/>
    <w:rsid w:val="00315215"/>
    <w:rsid w:val="003152E3"/>
    <w:rsid w:val="0033061A"/>
    <w:rsid w:val="00391A52"/>
    <w:rsid w:val="003B5B4C"/>
    <w:rsid w:val="003B7E9D"/>
    <w:rsid w:val="00413FE8"/>
    <w:rsid w:val="00474684"/>
    <w:rsid w:val="004953CA"/>
    <w:rsid w:val="004F4C21"/>
    <w:rsid w:val="005024BC"/>
    <w:rsid w:val="00534BBD"/>
    <w:rsid w:val="00534C7E"/>
    <w:rsid w:val="00541610"/>
    <w:rsid w:val="00570509"/>
    <w:rsid w:val="005C1AF4"/>
    <w:rsid w:val="005F532A"/>
    <w:rsid w:val="006076A9"/>
    <w:rsid w:val="00620397"/>
    <w:rsid w:val="0064199F"/>
    <w:rsid w:val="006570C7"/>
    <w:rsid w:val="00674B3F"/>
    <w:rsid w:val="00684347"/>
    <w:rsid w:val="006C3A42"/>
    <w:rsid w:val="006F4F6E"/>
    <w:rsid w:val="007437B0"/>
    <w:rsid w:val="0074513A"/>
    <w:rsid w:val="00774645"/>
    <w:rsid w:val="00780E99"/>
    <w:rsid w:val="007A6B3E"/>
    <w:rsid w:val="007A7194"/>
    <w:rsid w:val="007E4393"/>
    <w:rsid w:val="007E4A97"/>
    <w:rsid w:val="0082494B"/>
    <w:rsid w:val="0084044A"/>
    <w:rsid w:val="008C12FD"/>
    <w:rsid w:val="008D2F84"/>
    <w:rsid w:val="008E7718"/>
    <w:rsid w:val="008F381F"/>
    <w:rsid w:val="00931223"/>
    <w:rsid w:val="009377C3"/>
    <w:rsid w:val="009A0E13"/>
    <w:rsid w:val="009E66E6"/>
    <w:rsid w:val="00A227A8"/>
    <w:rsid w:val="00A92725"/>
    <w:rsid w:val="00AA05FE"/>
    <w:rsid w:val="00AB5FE1"/>
    <w:rsid w:val="00B03F4B"/>
    <w:rsid w:val="00B20535"/>
    <w:rsid w:val="00B21142"/>
    <w:rsid w:val="00BA33B0"/>
    <w:rsid w:val="00BC1C3D"/>
    <w:rsid w:val="00C26B1B"/>
    <w:rsid w:val="00C84E81"/>
    <w:rsid w:val="00C912C7"/>
    <w:rsid w:val="00CC17DD"/>
    <w:rsid w:val="00CE3D3D"/>
    <w:rsid w:val="00D12729"/>
    <w:rsid w:val="00D354D7"/>
    <w:rsid w:val="00D36708"/>
    <w:rsid w:val="00D50649"/>
    <w:rsid w:val="00D537AD"/>
    <w:rsid w:val="00D96761"/>
    <w:rsid w:val="00E45708"/>
    <w:rsid w:val="00E96C18"/>
    <w:rsid w:val="00EC52CD"/>
    <w:rsid w:val="00EE0BA0"/>
    <w:rsid w:val="00F03B9F"/>
    <w:rsid w:val="00F633EC"/>
    <w:rsid w:val="00F72BDD"/>
    <w:rsid w:val="00FB38AA"/>
    <w:rsid w:val="00FE0386"/>
    <w:rsid w:val="00FF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D537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E3D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9A0E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0E13"/>
    <w:rPr>
      <w:color w:val="0000FF"/>
      <w:u w:val="single"/>
    </w:rPr>
  </w:style>
  <w:style w:type="paragraph" w:styleId="ListParagraph">
    <w:name w:val="List Paragraph"/>
    <w:basedOn w:val="Normal"/>
    <w:uiPriority w:val="34"/>
    <w:qFormat/>
    <w:rsid w:val="008C12FD"/>
    <w:pPr>
      <w:ind w:left="720"/>
      <w:contextualSpacing/>
    </w:pPr>
  </w:style>
  <w:style w:type="character" w:styleId="Emphasis">
    <w:name w:val="Emphasis"/>
    <w:basedOn w:val="DefaultParagraphFont"/>
    <w:uiPriority w:val="20"/>
    <w:qFormat/>
    <w:rsid w:val="00AB5FE1"/>
    <w:rPr>
      <w:i/>
      <w:iCs/>
    </w:rPr>
  </w:style>
  <w:style w:type="character" w:customStyle="1" w:styleId="Heading3Char">
    <w:name w:val="Heading 3 Char"/>
    <w:basedOn w:val="DefaultParagraphFont"/>
    <w:link w:val="Heading3"/>
    <w:uiPriority w:val="9"/>
    <w:semiHidden/>
    <w:rsid w:val="00CE3D3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E0BA0"/>
    <w:rPr>
      <w:color w:val="605E5C"/>
      <w:shd w:val="clear" w:color="auto" w:fill="E1DFDD"/>
    </w:rPr>
  </w:style>
  <w:style w:type="character" w:customStyle="1" w:styleId="Heading1Char">
    <w:name w:val="Heading 1 Char"/>
    <w:basedOn w:val="DefaultParagraphFont"/>
    <w:link w:val="Heading1"/>
    <w:uiPriority w:val="9"/>
    <w:rsid w:val="00D537A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91A52"/>
    <w:rPr>
      <w:color w:val="954F72" w:themeColor="followedHyperlink"/>
      <w:u w:val="single"/>
    </w:rPr>
  </w:style>
  <w:style w:type="paragraph" w:customStyle="1" w:styleId="paragraph">
    <w:name w:val="paragraph"/>
    <w:basedOn w:val="Normal"/>
    <w:rsid w:val="009E66E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E66E6"/>
  </w:style>
  <w:style w:type="character" w:customStyle="1" w:styleId="eop">
    <w:name w:val="eop"/>
    <w:basedOn w:val="DefaultParagraphFont"/>
    <w:rsid w:val="009E66E6"/>
  </w:style>
  <w:style w:type="table" w:styleId="TableGrid">
    <w:name w:val="Table Grid"/>
    <w:basedOn w:val="TableNormal"/>
    <w:uiPriority w:val="39"/>
    <w:rsid w:val="00CC1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76A9"/>
    <w:rPr>
      <w:sz w:val="16"/>
      <w:szCs w:val="16"/>
    </w:rPr>
  </w:style>
  <w:style w:type="paragraph" w:styleId="CommentText">
    <w:name w:val="annotation text"/>
    <w:basedOn w:val="Normal"/>
    <w:link w:val="CommentTextChar"/>
    <w:uiPriority w:val="99"/>
    <w:semiHidden/>
    <w:unhideWhenUsed/>
    <w:rsid w:val="006076A9"/>
    <w:rPr>
      <w:sz w:val="20"/>
      <w:szCs w:val="20"/>
    </w:rPr>
  </w:style>
  <w:style w:type="character" w:customStyle="1" w:styleId="CommentTextChar">
    <w:name w:val="Comment Text Char"/>
    <w:basedOn w:val="DefaultParagraphFont"/>
    <w:link w:val="CommentText"/>
    <w:uiPriority w:val="99"/>
    <w:semiHidden/>
    <w:rsid w:val="006076A9"/>
    <w:rPr>
      <w:sz w:val="20"/>
      <w:szCs w:val="20"/>
    </w:rPr>
  </w:style>
  <w:style w:type="paragraph" w:styleId="CommentSubject">
    <w:name w:val="annotation subject"/>
    <w:basedOn w:val="CommentText"/>
    <w:next w:val="CommentText"/>
    <w:link w:val="CommentSubjectChar"/>
    <w:uiPriority w:val="99"/>
    <w:semiHidden/>
    <w:unhideWhenUsed/>
    <w:rsid w:val="006076A9"/>
    <w:rPr>
      <w:b/>
      <w:bCs/>
    </w:rPr>
  </w:style>
  <w:style w:type="character" w:customStyle="1" w:styleId="CommentSubjectChar">
    <w:name w:val="Comment Subject Char"/>
    <w:basedOn w:val="CommentTextChar"/>
    <w:link w:val="CommentSubject"/>
    <w:uiPriority w:val="99"/>
    <w:semiHidden/>
    <w:rsid w:val="006076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4603">
      <w:bodyDiv w:val="1"/>
      <w:marLeft w:val="0"/>
      <w:marRight w:val="0"/>
      <w:marTop w:val="0"/>
      <w:marBottom w:val="0"/>
      <w:divBdr>
        <w:top w:val="none" w:sz="0" w:space="0" w:color="auto"/>
        <w:left w:val="none" w:sz="0" w:space="0" w:color="auto"/>
        <w:bottom w:val="none" w:sz="0" w:space="0" w:color="auto"/>
        <w:right w:val="none" w:sz="0" w:space="0" w:color="auto"/>
      </w:divBdr>
    </w:div>
    <w:div w:id="182020746">
      <w:bodyDiv w:val="1"/>
      <w:marLeft w:val="0"/>
      <w:marRight w:val="0"/>
      <w:marTop w:val="0"/>
      <w:marBottom w:val="0"/>
      <w:divBdr>
        <w:top w:val="none" w:sz="0" w:space="0" w:color="auto"/>
        <w:left w:val="none" w:sz="0" w:space="0" w:color="auto"/>
        <w:bottom w:val="none" w:sz="0" w:space="0" w:color="auto"/>
        <w:right w:val="none" w:sz="0" w:space="0" w:color="auto"/>
      </w:divBdr>
    </w:div>
    <w:div w:id="190725643">
      <w:bodyDiv w:val="1"/>
      <w:marLeft w:val="0"/>
      <w:marRight w:val="0"/>
      <w:marTop w:val="0"/>
      <w:marBottom w:val="0"/>
      <w:divBdr>
        <w:top w:val="none" w:sz="0" w:space="0" w:color="auto"/>
        <w:left w:val="none" w:sz="0" w:space="0" w:color="auto"/>
        <w:bottom w:val="none" w:sz="0" w:space="0" w:color="auto"/>
        <w:right w:val="none" w:sz="0" w:space="0" w:color="auto"/>
      </w:divBdr>
    </w:div>
    <w:div w:id="248850952">
      <w:bodyDiv w:val="1"/>
      <w:marLeft w:val="0"/>
      <w:marRight w:val="0"/>
      <w:marTop w:val="0"/>
      <w:marBottom w:val="0"/>
      <w:divBdr>
        <w:top w:val="none" w:sz="0" w:space="0" w:color="auto"/>
        <w:left w:val="none" w:sz="0" w:space="0" w:color="auto"/>
        <w:bottom w:val="none" w:sz="0" w:space="0" w:color="auto"/>
        <w:right w:val="none" w:sz="0" w:space="0" w:color="auto"/>
      </w:divBdr>
    </w:div>
    <w:div w:id="384260523">
      <w:bodyDiv w:val="1"/>
      <w:marLeft w:val="0"/>
      <w:marRight w:val="0"/>
      <w:marTop w:val="0"/>
      <w:marBottom w:val="0"/>
      <w:divBdr>
        <w:top w:val="none" w:sz="0" w:space="0" w:color="auto"/>
        <w:left w:val="none" w:sz="0" w:space="0" w:color="auto"/>
        <w:bottom w:val="none" w:sz="0" w:space="0" w:color="auto"/>
        <w:right w:val="none" w:sz="0" w:space="0" w:color="auto"/>
      </w:divBdr>
    </w:div>
    <w:div w:id="443311353">
      <w:bodyDiv w:val="1"/>
      <w:marLeft w:val="0"/>
      <w:marRight w:val="0"/>
      <w:marTop w:val="0"/>
      <w:marBottom w:val="0"/>
      <w:divBdr>
        <w:top w:val="none" w:sz="0" w:space="0" w:color="auto"/>
        <w:left w:val="none" w:sz="0" w:space="0" w:color="auto"/>
        <w:bottom w:val="none" w:sz="0" w:space="0" w:color="auto"/>
        <w:right w:val="none" w:sz="0" w:space="0" w:color="auto"/>
      </w:divBdr>
      <w:divsChild>
        <w:div w:id="1910383829">
          <w:marLeft w:val="0"/>
          <w:marRight w:val="0"/>
          <w:marTop w:val="0"/>
          <w:marBottom w:val="240"/>
          <w:divBdr>
            <w:top w:val="none" w:sz="0" w:space="0" w:color="auto"/>
            <w:left w:val="none" w:sz="0" w:space="0" w:color="auto"/>
            <w:bottom w:val="none" w:sz="0" w:space="0" w:color="auto"/>
            <w:right w:val="none" w:sz="0" w:space="0" w:color="auto"/>
          </w:divBdr>
        </w:div>
      </w:divsChild>
    </w:div>
    <w:div w:id="780103184">
      <w:bodyDiv w:val="1"/>
      <w:marLeft w:val="0"/>
      <w:marRight w:val="0"/>
      <w:marTop w:val="0"/>
      <w:marBottom w:val="0"/>
      <w:divBdr>
        <w:top w:val="none" w:sz="0" w:space="0" w:color="auto"/>
        <w:left w:val="none" w:sz="0" w:space="0" w:color="auto"/>
        <w:bottom w:val="none" w:sz="0" w:space="0" w:color="auto"/>
        <w:right w:val="none" w:sz="0" w:space="0" w:color="auto"/>
      </w:divBdr>
    </w:div>
    <w:div w:id="807088068">
      <w:bodyDiv w:val="1"/>
      <w:marLeft w:val="0"/>
      <w:marRight w:val="0"/>
      <w:marTop w:val="0"/>
      <w:marBottom w:val="0"/>
      <w:divBdr>
        <w:top w:val="none" w:sz="0" w:space="0" w:color="auto"/>
        <w:left w:val="none" w:sz="0" w:space="0" w:color="auto"/>
        <w:bottom w:val="none" w:sz="0" w:space="0" w:color="auto"/>
        <w:right w:val="none" w:sz="0" w:space="0" w:color="auto"/>
      </w:divBdr>
      <w:divsChild>
        <w:div w:id="1362433637">
          <w:marLeft w:val="0"/>
          <w:marRight w:val="0"/>
          <w:marTop w:val="0"/>
          <w:marBottom w:val="240"/>
          <w:divBdr>
            <w:top w:val="none" w:sz="0" w:space="0" w:color="auto"/>
            <w:left w:val="none" w:sz="0" w:space="0" w:color="auto"/>
            <w:bottom w:val="none" w:sz="0" w:space="0" w:color="auto"/>
            <w:right w:val="none" w:sz="0" w:space="0" w:color="auto"/>
          </w:divBdr>
        </w:div>
      </w:divsChild>
    </w:div>
    <w:div w:id="863203449">
      <w:bodyDiv w:val="1"/>
      <w:marLeft w:val="0"/>
      <w:marRight w:val="0"/>
      <w:marTop w:val="0"/>
      <w:marBottom w:val="0"/>
      <w:divBdr>
        <w:top w:val="none" w:sz="0" w:space="0" w:color="auto"/>
        <w:left w:val="none" w:sz="0" w:space="0" w:color="auto"/>
        <w:bottom w:val="none" w:sz="0" w:space="0" w:color="auto"/>
        <w:right w:val="none" w:sz="0" w:space="0" w:color="auto"/>
      </w:divBdr>
    </w:div>
    <w:div w:id="947541662">
      <w:bodyDiv w:val="1"/>
      <w:marLeft w:val="0"/>
      <w:marRight w:val="0"/>
      <w:marTop w:val="0"/>
      <w:marBottom w:val="0"/>
      <w:divBdr>
        <w:top w:val="none" w:sz="0" w:space="0" w:color="auto"/>
        <w:left w:val="none" w:sz="0" w:space="0" w:color="auto"/>
        <w:bottom w:val="none" w:sz="0" w:space="0" w:color="auto"/>
        <w:right w:val="none" w:sz="0" w:space="0" w:color="auto"/>
      </w:divBdr>
    </w:div>
    <w:div w:id="963803224">
      <w:bodyDiv w:val="1"/>
      <w:marLeft w:val="0"/>
      <w:marRight w:val="0"/>
      <w:marTop w:val="0"/>
      <w:marBottom w:val="0"/>
      <w:divBdr>
        <w:top w:val="none" w:sz="0" w:space="0" w:color="auto"/>
        <w:left w:val="none" w:sz="0" w:space="0" w:color="auto"/>
        <w:bottom w:val="none" w:sz="0" w:space="0" w:color="auto"/>
        <w:right w:val="none" w:sz="0" w:space="0" w:color="auto"/>
      </w:divBdr>
    </w:div>
    <w:div w:id="1016073684">
      <w:bodyDiv w:val="1"/>
      <w:marLeft w:val="0"/>
      <w:marRight w:val="0"/>
      <w:marTop w:val="0"/>
      <w:marBottom w:val="0"/>
      <w:divBdr>
        <w:top w:val="none" w:sz="0" w:space="0" w:color="auto"/>
        <w:left w:val="none" w:sz="0" w:space="0" w:color="auto"/>
        <w:bottom w:val="none" w:sz="0" w:space="0" w:color="auto"/>
        <w:right w:val="none" w:sz="0" w:space="0" w:color="auto"/>
      </w:divBdr>
    </w:div>
    <w:div w:id="1085761901">
      <w:bodyDiv w:val="1"/>
      <w:marLeft w:val="0"/>
      <w:marRight w:val="0"/>
      <w:marTop w:val="0"/>
      <w:marBottom w:val="0"/>
      <w:divBdr>
        <w:top w:val="none" w:sz="0" w:space="0" w:color="auto"/>
        <w:left w:val="none" w:sz="0" w:space="0" w:color="auto"/>
        <w:bottom w:val="none" w:sz="0" w:space="0" w:color="auto"/>
        <w:right w:val="none" w:sz="0" w:space="0" w:color="auto"/>
      </w:divBdr>
    </w:div>
    <w:div w:id="1128939825">
      <w:bodyDiv w:val="1"/>
      <w:marLeft w:val="0"/>
      <w:marRight w:val="0"/>
      <w:marTop w:val="0"/>
      <w:marBottom w:val="0"/>
      <w:divBdr>
        <w:top w:val="none" w:sz="0" w:space="0" w:color="auto"/>
        <w:left w:val="none" w:sz="0" w:space="0" w:color="auto"/>
        <w:bottom w:val="none" w:sz="0" w:space="0" w:color="auto"/>
        <w:right w:val="none" w:sz="0" w:space="0" w:color="auto"/>
      </w:divBdr>
    </w:div>
    <w:div w:id="1364865025">
      <w:bodyDiv w:val="1"/>
      <w:marLeft w:val="0"/>
      <w:marRight w:val="0"/>
      <w:marTop w:val="0"/>
      <w:marBottom w:val="0"/>
      <w:divBdr>
        <w:top w:val="none" w:sz="0" w:space="0" w:color="auto"/>
        <w:left w:val="none" w:sz="0" w:space="0" w:color="auto"/>
        <w:bottom w:val="none" w:sz="0" w:space="0" w:color="auto"/>
        <w:right w:val="none" w:sz="0" w:space="0" w:color="auto"/>
      </w:divBdr>
    </w:div>
    <w:div w:id="1651010101">
      <w:bodyDiv w:val="1"/>
      <w:marLeft w:val="0"/>
      <w:marRight w:val="0"/>
      <w:marTop w:val="0"/>
      <w:marBottom w:val="0"/>
      <w:divBdr>
        <w:top w:val="none" w:sz="0" w:space="0" w:color="auto"/>
        <w:left w:val="none" w:sz="0" w:space="0" w:color="auto"/>
        <w:bottom w:val="none" w:sz="0" w:space="0" w:color="auto"/>
        <w:right w:val="none" w:sz="0" w:space="0" w:color="auto"/>
      </w:divBdr>
    </w:div>
    <w:div w:id="1718313469">
      <w:bodyDiv w:val="1"/>
      <w:marLeft w:val="0"/>
      <w:marRight w:val="0"/>
      <w:marTop w:val="0"/>
      <w:marBottom w:val="0"/>
      <w:divBdr>
        <w:top w:val="none" w:sz="0" w:space="0" w:color="auto"/>
        <w:left w:val="none" w:sz="0" w:space="0" w:color="auto"/>
        <w:bottom w:val="none" w:sz="0" w:space="0" w:color="auto"/>
        <w:right w:val="none" w:sz="0" w:space="0" w:color="auto"/>
      </w:divBdr>
    </w:div>
    <w:div w:id="1861550625">
      <w:bodyDiv w:val="1"/>
      <w:marLeft w:val="0"/>
      <w:marRight w:val="0"/>
      <w:marTop w:val="0"/>
      <w:marBottom w:val="0"/>
      <w:divBdr>
        <w:top w:val="none" w:sz="0" w:space="0" w:color="auto"/>
        <w:left w:val="none" w:sz="0" w:space="0" w:color="auto"/>
        <w:bottom w:val="none" w:sz="0" w:space="0" w:color="auto"/>
        <w:right w:val="none" w:sz="0" w:space="0" w:color="auto"/>
      </w:divBdr>
      <w:divsChild>
        <w:div w:id="206992750">
          <w:marLeft w:val="0"/>
          <w:marRight w:val="0"/>
          <w:marTop w:val="0"/>
          <w:marBottom w:val="0"/>
          <w:divBdr>
            <w:top w:val="none" w:sz="0" w:space="0" w:color="auto"/>
            <w:left w:val="none" w:sz="0" w:space="0" w:color="auto"/>
            <w:bottom w:val="none" w:sz="0" w:space="0" w:color="auto"/>
            <w:right w:val="none" w:sz="0" w:space="0" w:color="auto"/>
          </w:divBdr>
        </w:div>
        <w:div w:id="343360244">
          <w:marLeft w:val="0"/>
          <w:marRight w:val="0"/>
          <w:marTop w:val="0"/>
          <w:marBottom w:val="0"/>
          <w:divBdr>
            <w:top w:val="none" w:sz="0" w:space="0" w:color="auto"/>
            <w:left w:val="none" w:sz="0" w:space="0" w:color="auto"/>
            <w:bottom w:val="none" w:sz="0" w:space="0" w:color="auto"/>
            <w:right w:val="none" w:sz="0" w:space="0" w:color="auto"/>
          </w:divBdr>
        </w:div>
        <w:div w:id="44372816">
          <w:marLeft w:val="0"/>
          <w:marRight w:val="0"/>
          <w:marTop w:val="0"/>
          <w:marBottom w:val="0"/>
          <w:divBdr>
            <w:top w:val="none" w:sz="0" w:space="0" w:color="auto"/>
            <w:left w:val="none" w:sz="0" w:space="0" w:color="auto"/>
            <w:bottom w:val="none" w:sz="0" w:space="0" w:color="auto"/>
            <w:right w:val="none" w:sz="0" w:space="0" w:color="auto"/>
          </w:divBdr>
        </w:div>
      </w:divsChild>
    </w:div>
    <w:div w:id="1872380485">
      <w:bodyDiv w:val="1"/>
      <w:marLeft w:val="0"/>
      <w:marRight w:val="0"/>
      <w:marTop w:val="0"/>
      <w:marBottom w:val="0"/>
      <w:divBdr>
        <w:top w:val="none" w:sz="0" w:space="0" w:color="auto"/>
        <w:left w:val="none" w:sz="0" w:space="0" w:color="auto"/>
        <w:bottom w:val="none" w:sz="0" w:space="0" w:color="auto"/>
        <w:right w:val="none" w:sz="0" w:space="0" w:color="auto"/>
      </w:divBdr>
    </w:div>
    <w:div w:id="1961571815">
      <w:bodyDiv w:val="1"/>
      <w:marLeft w:val="0"/>
      <w:marRight w:val="0"/>
      <w:marTop w:val="0"/>
      <w:marBottom w:val="0"/>
      <w:divBdr>
        <w:top w:val="none" w:sz="0" w:space="0" w:color="auto"/>
        <w:left w:val="none" w:sz="0" w:space="0" w:color="auto"/>
        <w:bottom w:val="none" w:sz="0" w:space="0" w:color="auto"/>
        <w:right w:val="none" w:sz="0" w:space="0" w:color="auto"/>
      </w:divBdr>
    </w:div>
    <w:div w:id="2014140775">
      <w:bodyDiv w:val="1"/>
      <w:marLeft w:val="0"/>
      <w:marRight w:val="0"/>
      <w:marTop w:val="0"/>
      <w:marBottom w:val="0"/>
      <w:divBdr>
        <w:top w:val="none" w:sz="0" w:space="0" w:color="auto"/>
        <w:left w:val="none" w:sz="0" w:space="0" w:color="auto"/>
        <w:bottom w:val="none" w:sz="0" w:space="0" w:color="auto"/>
        <w:right w:val="none" w:sz="0" w:space="0" w:color="auto"/>
      </w:divBdr>
    </w:div>
    <w:div w:id="20324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vpc/latest/userguide/vpc-network-acls.html" TargetMode="Externa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cs.aws.amazon.com/vpc/latest/userguide/VPC_SecurityGroups.html"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compliance/services-in-scope/"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hyperlink" Target="http://aws.amazon.com/compliance/program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aws.amazon.com/compliance/shared-responsibility-mode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72158E-E7AD-4F32-81B4-11FA9F9FF39B}">
  <ds:schemaRefs>
    <ds:schemaRef ds:uri="http://schemas.openxmlformats.org/officeDocument/2006/bibliography"/>
  </ds:schemaRefs>
</ds:datastoreItem>
</file>

<file path=customXml/itemProps4.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Andrei Niasiuk</cp:lastModifiedBy>
  <cp:revision>21</cp:revision>
  <dcterms:created xsi:type="dcterms:W3CDTF">2021-04-21T10:59:00Z</dcterms:created>
  <dcterms:modified xsi:type="dcterms:W3CDTF">2021-04-21T14:14:00Z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