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439145E4" w:rsidR="008E7718" w:rsidRPr="008E7718" w:rsidRDefault="00474684" w:rsidP="008E7718">
      <w:pPr>
        <w:rPr>
          <w:rFonts w:cstheme="minorHAnsi"/>
          <w:sz w:val="32"/>
          <w:szCs w:val="32"/>
        </w:rPr>
      </w:pPr>
      <w:r>
        <w:rPr>
          <w:rFonts w:cstheme="minorHAnsi"/>
          <w:sz w:val="32"/>
          <w:szCs w:val="32"/>
        </w:rPr>
        <w:t>VPC</w:t>
      </w:r>
      <w:r w:rsidR="006025F1">
        <w:rPr>
          <w:rFonts w:cstheme="minorHAnsi"/>
          <w:sz w:val="32"/>
          <w:szCs w:val="32"/>
        </w:rPr>
        <w:t xml:space="preserve"> Endpoint</w:t>
      </w:r>
      <w:r w:rsidR="000E70BD">
        <w:rPr>
          <w:rFonts w:cstheme="minorHAnsi"/>
          <w:sz w:val="32"/>
          <w:szCs w:val="32"/>
        </w:rPr>
        <w:t>s</w:t>
      </w:r>
    </w:p>
    <w:p w14:paraId="765C4526" w14:textId="77777777" w:rsidR="008E7718" w:rsidRPr="008E7718" w:rsidRDefault="008E7718" w:rsidP="008E7718">
      <w:pPr>
        <w:rPr>
          <w:rFonts w:cstheme="minorHAnsi"/>
          <w:sz w:val="32"/>
          <w:szCs w:val="32"/>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688EC58D" w14:textId="356ED603" w:rsidR="00AB5FE1" w:rsidRDefault="002E28B9" w:rsidP="008E7718">
      <w:pPr>
        <w:rPr>
          <w:rFonts w:cstheme="minorHAnsi"/>
          <w:i/>
          <w:iCs/>
        </w:rPr>
      </w:pPr>
      <w:r w:rsidRPr="002E28B9">
        <w:rPr>
          <w:rFonts w:cstheme="minorHAnsi"/>
          <w:i/>
          <w:iCs/>
        </w:rPr>
        <w:t xml:space="preserve">A VPC endpoint enables you to privately connect your VPC to supported AWS services and VPC endpoint services powered by </w:t>
      </w:r>
      <w:proofErr w:type="spellStart"/>
      <w:r w:rsidRPr="002E28B9">
        <w:rPr>
          <w:rFonts w:cstheme="minorHAnsi"/>
          <w:i/>
          <w:iCs/>
        </w:rPr>
        <w:t>PrivateLink</w:t>
      </w:r>
      <w:proofErr w:type="spellEnd"/>
      <w:r w:rsidRPr="002E28B9">
        <w:rPr>
          <w:rFonts w:cstheme="minorHAnsi"/>
          <w:i/>
          <w:iCs/>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Endpoints are virtual devices. They are horizontally scaled, redundant, and highly available VPC components that allow communication between instances in your VPC and services without imposing availability risks or bandwidth constraints on your network traffic</w:t>
      </w:r>
    </w:p>
    <w:p w14:paraId="52E5A26B" w14:textId="77777777" w:rsidR="00111553" w:rsidRPr="008C12FD" w:rsidRDefault="00111553" w:rsidP="008E7718">
      <w:pPr>
        <w:rPr>
          <w:rFonts w:cstheme="minorHAnsi"/>
          <w:i/>
          <w:iC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Use cases / Considerations</w:t>
      </w:r>
    </w:p>
    <w:p w14:paraId="328082A1" w14:textId="77777777" w:rsidR="009F1946" w:rsidRDefault="004D2F81" w:rsidP="009F1946">
      <w:pPr>
        <w:rPr>
          <w:rFonts w:cstheme="minorHAnsi"/>
          <w:i/>
          <w:iCs/>
        </w:rPr>
      </w:pPr>
      <w:hyperlink r:id="rId8" w:history="1">
        <w:r w:rsidR="00E23D24" w:rsidRPr="004D2F81">
          <w:rPr>
            <w:rStyle w:val="Hyperlink"/>
            <w:rFonts w:cstheme="minorHAnsi"/>
            <w:b/>
            <w:bCs/>
            <w:i/>
            <w:iCs/>
          </w:rPr>
          <w:t xml:space="preserve">Interface VPC endpoints (AWS </w:t>
        </w:r>
        <w:proofErr w:type="spellStart"/>
        <w:r w:rsidR="00E23D24" w:rsidRPr="004D2F81">
          <w:rPr>
            <w:rStyle w:val="Hyperlink"/>
            <w:rFonts w:cstheme="minorHAnsi"/>
            <w:b/>
            <w:bCs/>
            <w:i/>
            <w:iCs/>
          </w:rPr>
          <w:t>PrivateLink</w:t>
        </w:r>
        <w:proofErr w:type="spellEnd"/>
      </w:hyperlink>
      <w:r w:rsidR="00E23D24" w:rsidRPr="00E23D24">
        <w:rPr>
          <w:rFonts w:cstheme="minorHAnsi"/>
          <w:i/>
          <w:iCs/>
        </w:rPr>
        <w:t>)</w:t>
      </w:r>
      <w:r w:rsidR="00E23D24" w:rsidRPr="00E23D24">
        <w:rPr>
          <w:rFonts w:cstheme="minorHAnsi"/>
          <w:i/>
          <w:iCs/>
        </w:rPr>
        <w:t xml:space="preserve"> - </w:t>
      </w:r>
      <w:r w:rsidR="00E23D24" w:rsidRPr="00E23D24">
        <w:rPr>
          <w:rFonts w:cstheme="minorHAnsi"/>
          <w:i/>
          <w:iCs/>
        </w:rPr>
        <w:t xml:space="preserve">An interface VPC endpoint (interface endpoint) allows you to connect to services powered by AWS </w:t>
      </w:r>
      <w:proofErr w:type="spellStart"/>
      <w:r w:rsidR="00E23D24" w:rsidRPr="00E23D24">
        <w:rPr>
          <w:rFonts w:cstheme="minorHAnsi"/>
          <w:i/>
          <w:iCs/>
        </w:rPr>
        <w:t>PrivateLink</w:t>
      </w:r>
      <w:proofErr w:type="spellEnd"/>
      <w:r w:rsidR="00E23D24" w:rsidRPr="00E23D24">
        <w:rPr>
          <w:rFonts w:cstheme="minorHAnsi"/>
          <w:i/>
          <w:iCs/>
        </w:rPr>
        <w:t>. These services include some AWS services, services hosted by other AWS customers and Partners in their own VPCs (referred to as </w:t>
      </w:r>
      <w:r w:rsidR="00E23D24" w:rsidRPr="009F1946">
        <w:rPr>
          <w:rFonts w:cstheme="minorHAnsi"/>
          <w:i/>
          <w:iCs/>
        </w:rPr>
        <w:t>endpoint services</w:t>
      </w:r>
      <w:r w:rsidR="00E23D24" w:rsidRPr="00E23D24">
        <w:rPr>
          <w:rFonts w:cstheme="minorHAnsi"/>
          <w:i/>
          <w:iCs/>
        </w:rPr>
        <w:t>), and supported AWS Marketplace Partner services. The owner of the service is the </w:t>
      </w:r>
      <w:r w:rsidR="00E23D24" w:rsidRPr="009F1946">
        <w:rPr>
          <w:rFonts w:cstheme="minorHAnsi"/>
          <w:i/>
          <w:iCs/>
        </w:rPr>
        <w:t>service provider</w:t>
      </w:r>
      <w:r w:rsidR="00E23D24" w:rsidRPr="00E23D24">
        <w:rPr>
          <w:rFonts w:cstheme="minorHAnsi"/>
          <w:i/>
          <w:iCs/>
        </w:rPr>
        <w:t>, and you, as the principal creating the interface endpoint, are the </w:t>
      </w:r>
      <w:r w:rsidR="00E23D24" w:rsidRPr="009F1946">
        <w:rPr>
          <w:rFonts w:cstheme="minorHAnsi"/>
          <w:i/>
          <w:iCs/>
        </w:rPr>
        <w:t>service consumer</w:t>
      </w:r>
      <w:r w:rsidR="00E23D24" w:rsidRPr="00E23D24">
        <w:rPr>
          <w:rFonts w:cstheme="minorHAnsi"/>
          <w:i/>
          <w:iCs/>
        </w:rPr>
        <w:t>.</w:t>
      </w:r>
    </w:p>
    <w:p w14:paraId="7711EA7B" w14:textId="2E223635" w:rsidR="00BF0816" w:rsidRDefault="009F1946" w:rsidP="009F1946">
      <w:pPr>
        <w:rPr>
          <w:rFonts w:cstheme="minorHAnsi"/>
          <w:i/>
          <w:iCs/>
        </w:rPr>
      </w:pPr>
      <w:r w:rsidRPr="009F1946">
        <w:rPr>
          <w:rFonts w:cstheme="minorHAnsi"/>
          <w:i/>
          <w:iCs/>
        </w:rPr>
        <w:t xml:space="preserve">A </w:t>
      </w:r>
      <w:hyperlink r:id="rId9" w:history="1">
        <w:r w:rsidRPr="009F1946">
          <w:rPr>
            <w:rStyle w:val="Hyperlink"/>
            <w:rFonts w:cstheme="minorHAnsi"/>
            <w:b/>
            <w:bCs/>
            <w:i/>
            <w:iCs/>
          </w:rPr>
          <w:t>Gateway Load Balancer endpoint</w:t>
        </w:r>
      </w:hyperlink>
      <w:r w:rsidRPr="009F1946">
        <w:rPr>
          <w:rFonts w:cstheme="minorHAnsi"/>
          <w:i/>
          <w:iCs/>
        </w:rPr>
        <w:t xml:space="preserve"> enables you to intercept traffic and route it to a service that you've configured using </w:t>
      </w:r>
      <w:hyperlink r:id="rId10" w:history="1">
        <w:r w:rsidRPr="009F1946">
          <w:rPr>
            <w:rFonts w:cstheme="minorHAnsi"/>
            <w:i/>
            <w:iCs/>
          </w:rPr>
          <w:t>Gateway Load Balancers</w:t>
        </w:r>
      </w:hyperlink>
      <w:r w:rsidRPr="009F1946">
        <w:rPr>
          <w:rFonts w:cstheme="minorHAnsi"/>
          <w:i/>
          <w:iCs/>
        </w:rPr>
        <w:t>, for example, for security inspection. The owner of the service is the service provider, and you, as the principal creating the Gateway Load Balancer endpoint, are the service consumer.</w:t>
      </w:r>
    </w:p>
    <w:p w14:paraId="71866A24" w14:textId="37C59928" w:rsidR="002941F2" w:rsidRDefault="008C6F9E" w:rsidP="009F1946">
      <w:hyperlink r:id="rId11" w:history="1">
        <w:r w:rsidR="00CB411C" w:rsidRPr="008C6F9E">
          <w:rPr>
            <w:rStyle w:val="Hyperlink"/>
            <w:b/>
            <w:bCs/>
          </w:rPr>
          <w:t>VPC endpoint services</w:t>
        </w:r>
      </w:hyperlink>
      <w:r w:rsidR="00087DA2">
        <w:t>.</w:t>
      </w:r>
      <w:r w:rsidR="00CB411C" w:rsidRPr="00087DA2">
        <w:t> </w:t>
      </w:r>
      <w:r w:rsidR="00087DA2" w:rsidRPr="00927912">
        <w:rPr>
          <w:rFonts w:cstheme="minorHAnsi"/>
          <w:i/>
          <w:iCs/>
        </w:rPr>
        <w:t xml:space="preserve">You can create your own application in your VPC and configure it as an AWS </w:t>
      </w:r>
      <w:proofErr w:type="spellStart"/>
      <w:r w:rsidR="00087DA2" w:rsidRPr="00927912">
        <w:rPr>
          <w:rFonts w:cstheme="minorHAnsi"/>
          <w:i/>
          <w:iCs/>
        </w:rPr>
        <w:t>PrivateLink</w:t>
      </w:r>
      <w:proofErr w:type="spellEnd"/>
      <w:r w:rsidR="00087DA2" w:rsidRPr="00927912">
        <w:rPr>
          <w:rFonts w:cstheme="minorHAnsi"/>
          <w:i/>
          <w:iCs/>
        </w:rPr>
        <w:t>-powered service (referred to as an endpoint service). Other AWS principals can create a connection from their VPC to your endpoint service using an </w:t>
      </w:r>
      <w:hyperlink r:id="rId12" w:history="1">
        <w:r w:rsidR="00087DA2" w:rsidRPr="00927912">
          <w:rPr>
            <w:rFonts w:cstheme="minorHAnsi"/>
            <w:i/>
            <w:iCs/>
          </w:rPr>
          <w:t>interface VPC endpoint</w:t>
        </w:r>
      </w:hyperlink>
      <w:r w:rsidR="00087DA2" w:rsidRPr="00927912">
        <w:rPr>
          <w:rFonts w:cstheme="minorHAnsi"/>
          <w:i/>
          <w:iCs/>
        </w:rPr>
        <w:t> or a </w:t>
      </w:r>
      <w:hyperlink r:id="rId13" w:history="1">
        <w:r w:rsidR="00087DA2" w:rsidRPr="00927912">
          <w:rPr>
            <w:rFonts w:cstheme="minorHAnsi"/>
            <w:i/>
            <w:iCs/>
          </w:rPr>
          <w:t>Gateway Load Balancer endpoint</w:t>
        </w:r>
      </w:hyperlink>
      <w:r w:rsidR="00087DA2" w:rsidRPr="00927912">
        <w:rPr>
          <w:rFonts w:cstheme="minorHAnsi"/>
          <w:i/>
          <w:iCs/>
        </w:rPr>
        <w:t>, depending on the type of service. You are the service provider, and the AWS principals that create connections to your service are service consumers.</w:t>
      </w:r>
    </w:p>
    <w:p w14:paraId="32917204" w14:textId="524F3A66" w:rsidR="00F3602C" w:rsidRPr="00087DA2" w:rsidRDefault="00927912" w:rsidP="009F1946">
      <w:pPr>
        <w:rPr>
          <w:rFonts w:cstheme="minorHAnsi"/>
          <w:i/>
          <w:iCs/>
        </w:rPr>
      </w:pPr>
      <w:hyperlink r:id="rId14" w:history="1">
        <w:r w:rsidR="00F3602C" w:rsidRPr="00927912">
          <w:rPr>
            <w:rStyle w:val="Hyperlink"/>
            <w:rFonts w:cstheme="minorHAnsi"/>
            <w:b/>
            <w:bCs/>
            <w:i/>
            <w:iCs/>
          </w:rPr>
          <w:t>Gateway Endpoints</w:t>
        </w:r>
      </w:hyperlink>
      <w:r w:rsidR="00F3602C" w:rsidRPr="00927912">
        <w:rPr>
          <w:rFonts w:cstheme="minorHAnsi"/>
          <w:i/>
          <w:iCs/>
        </w:rPr>
        <w:t xml:space="preserve"> </w:t>
      </w:r>
      <w:r w:rsidR="002E28B9" w:rsidRPr="00927912">
        <w:rPr>
          <w:rFonts w:cstheme="minorHAnsi"/>
          <w:i/>
          <w:iCs/>
        </w:rPr>
        <w:t xml:space="preserve">Currently Gateway Endpoints Support • Amazon S3 • </w:t>
      </w:r>
      <w:proofErr w:type="spellStart"/>
      <w:r w:rsidR="002E28B9" w:rsidRPr="00927912">
        <w:rPr>
          <w:rFonts w:cstheme="minorHAnsi"/>
          <w:i/>
          <w:iCs/>
        </w:rPr>
        <w:t>DynamoD</w:t>
      </w:r>
      <w:proofErr w:type="spellEnd"/>
    </w:p>
    <w:p w14:paraId="6A79B9E6" w14:textId="77777777" w:rsidR="008E7718" w:rsidRPr="008E7718"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14:paraId="3C8B3249" w14:textId="75D3B612" w:rsidR="008E7718" w:rsidRDefault="008E7718" w:rsidP="008E7718">
      <w:pPr>
        <w:rPr>
          <w:rFonts w:cstheme="minorHAnsi"/>
          <w:sz w:val="32"/>
          <w:szCs w:val="32"/>
        </w:rPr>
      </w:pPr>
    </w:p>
    <w:p w14:paraId="5825709F" w14:textId="3BE24C82"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1A808E4B" w14:textId="0BE396DB" w:rsidR="00474684" w:rsidRPr="00A6361F" w:rsidRDefault="00425442" w:rsidP="00A6361F">
      <w:pPr>
        <w:pStyle w:val="ListParagraph"/>
        <w:numPr>
          <w:ilvl w:val="0"/>
          <w:numId w:val="7"/>
        </w:numPr>
        <w:rPr>
          <w:rFonts w:cstheme="minorHAnsi"/>
          <w:i/>
          <w:iCs/>
        </w:rPr>
      </w:pPr>
      <w:r w:rsidRPr="00A6361F">
        <w:rPr>
          <w:rFonts w:cstheme="minorHAnsi"/>
          <w:i/>
          <w:iCs/>
        </w:rPr>
        <w:t>Gateway VPC endpoints per Region</w:t>
      </w:r>
      <w:r w:rsidRPr="00A6361F">
        <w:rPr>
          <w:rFonts w:cstheme="minorHAnsi"/>
          <w:i/>
          <w:iCs/>
        </w:rPr>
        <w:t xml:space="preserve"> </w:t>
      </w:r>
      <w:r w:rsidR="000B77FE" w:rsidRPr="00A6361F">
        <w:rPr>
          <w:rFonts w:cstheme="minorHAnsi"/>
          <w:i/>
          <w:iCs/>
        </w:rPr>
        <w:t xml:space="preserve">– </w:t>
      </w:r>
      <w:r w:rsidRPr="00A6361F">
        <w:rPr>
          <w:rFonts w:cstheme="minorHAnsi"/>
          <w:i/>
          <w:iCs/>
        </w:rPr>
        <w:t>20</w:t>
      </w:r>
      <w:r w:rsidR="000B77FE" w:rsidRPr="00A6361F">
        <w:rPr>
          <w:rFonts w:cstheme="minorHAnsi"/>
          <w:i/>
          <w:iCs/>
        </w:rPr>
        <w:t xml:space="preserve">. </w:t>
      </w:r>
      <w:r w:rsidRPr="00A6361F">
        <w:rPr>
          <w:rFonts w:cstheme="minorHAnsi"/>
          <w:i/>
          <w:iCs/>
        </w:rPr>
        <w:t xml:space="preserve"> </w:t>
      </w:r>
      <w:r w:rsidR="00115A3C" w:rsidRPr="00A6361F">
        <w:rPr>
          <w:rFonts w:cstheme="minorHAnsi"/>
          <w:i/>
          <w:iCs/>
        </w:rPr>
        <w:t>You cannot have more than 255 gateway endpoints per VPC.</w:t>
      </w:r>
    </w:p>
    <w:p w14:paraId="769468D1" w14:textId="02511B9C" w:rsidR="00115A3C" w:rsidRPr="00A6361F" w:rsidRDefault="00115A3C" w:rsidP="00A6361F">
      <w:pPr>
        <w:pStyle w:val="ListParagraph"/>
        <w:numPr>
          <w:ilvl w:val="0"/>
          <w:numId w:val="7"/>
        </w:numPr>
        <w:rPr>
          <w:rFonts w:cstheme="minorHAnsi"/>
          <w:i/>
          <w:iCs/>
        </w:rPr>
      </w:pPr>
      <w:r w:rsidRPr="00A6361F">
        <w:rPr>
          <w:rFonts w:cstheme="minorHAnsi"/>
          <w:i/>
          <w:iCs/>
        </w:rPr>
        <w:t>Interface and Gateway Load Balancer endpoints per VPC</w:t>
      </w:r>
      <w:r w:rsidR="000B77FE" w:rsidRPr="00A6361F">
        <w:rPr>
          <w:rFonts w:cstheme="minorHAnsi"/>
          <w:i/>
          <w:iCs/>
        </w:rPr>
        <w:t xml:space="preserve"> -</w:t>
      </w:r>
      <w:r w:rsidRPr="00A6361F">
        <w:rPr>
          <w:rFonts w:cstheme="minorHAnsi"/>
          <w:i/>
          <w:iCs/>
        </w:rPr>
        <w:t xml:space="preserve"> 50. </w:t>
      </w:r>
      <w:r w:rsidRPr="00A6361F">
        <w:rPr>
          <w:rFonts w:cstheme="minorHAnsi"/>
          <w:i/>
          <w:iCs/>
        </w:rPr>
        <w:t>This is the combined quota for the maximum number of interface endpoints and Gateway Load Balancer endpoints in a VPC. To increase this quota, contact AWS Support.</w:t>
      </w:r>
    </w:p>
    <w:p w14:paraId="3032CB30" w14:textId="77777777" w:rsidR="00A6361F" w:rsidRPr="00A6361F" w:rsidRDefault="00115A3C" w:rsidP="00A6361F">
      <w:pPr>
        <w:pStyle w:val="ListParagraph"/>
        <w:numPr>
          <w:ilvl w:val="0"/>
          <w:numId w:val="7"/>
        </w:numPr>
        <w:rPr>
          <w:rFonts w:cstheme="minorHAnsi"/>
          <w:i/>
          <w:iCs/>
        </w:rPr>
      </w:pPr>
      <w:r w:rsidRPr="00A6361F">
        <w:rPr>
          <w:rFonts w:cstheme="minorHAnsi"/>
          <w:i/>
          <w:iCs/>
        </w:rPr>
        <w:t>VPC endpoint policy size</w:t>
      </w:r>
      <w:r w:rsidRPr="00A6361F">
        <w:rPr>
          <w:rFonts w:cstheme="minorHAnsi"/>
          <w:i/>
          <w:iCs/>
        </w:rPr>
        <w:t xml:space="preserve"> </w:t>
      </w:r>
      <w:r w:rsidR="000B77FE" w:rsidRPr="00A6361F">
        <w:rPr>
          <w:rFonts w:cstheme="minorHAnsi"/>
          <w:i/>
          <w:iCs/>
        </w:rPr>
        <w:t xml:space="preserve">- </w:t>
      </w:r>
      <w:r w:rsidR="000B77FE" w:rsidRPr="00A6361F">
        <w:rPr>
          <w:rFonts w:cstheme="minorHAnsi"/>
          <w:i/>
          <w:iCs/>
        </w:rPr>
        <w:t>20,480 characters (including white space)</w:t>
      </w:r>
      <w:r w:rsidR="000B77FE" w:rsidRPr="00A6361F">
        <w:rPr>
          <w:rFonts w:cstheme="minorHAnsi"/>
          <w:i/>
          <w:iCs/>
        </w:rPr>
        <w:t xml:space="preserve">. </w:t>
      </w:r>
      <w:r w:rsidR="000B77FE" w:rsidRPr="00A6361F">
        <w:rPr>
          <w:rFonts w:cstheme="minorHAnsi"/>
          <w:i/>
          <w:iCs/>
        </w:rPr>
        <w:t>This quota cannot be increased.</w:t>
      </w:r>
    </w:p>
    <w:p w14:paraId="08BCD140" w14:textId="40EF1CDB" w:rsidR="00A6361F" w:rsidRPr="00A6361F" w:rsidRDefault="00A6361F" w:rsidP="00A6361F">
      <w:pPr>
        <w:pStyle w:val="ListParagraph"/>
        <w:numPr>
          <w:ilvl w:val="0"/>
          <w:numId w:val="7"/>
        </w:numPr>
        <w:rPr>
          <w:rFonts w:cstheme="minorHAnsi"/>
          <w:i/>
          <w:iCs/>
        </w:rPr>
      </w:pPr>
      <w:r w:rsidRPr="00A6361F">
        <w:rPr>
          <w:rFonts w:cstheme="minorHAnsi"/>
          <w:i/>
          <w:iCs/>
        </w:rPr>
        <w:lastRenderedPageBreak/>
        <w:t>You cannot use an AWS prefix list ID in an outbound rule in a network ACL to allow or deny outbound traffic to the service specified in an endpoint. If your network ACL rules restrict traffic, you must specify the CIDR block (IP address range) for the service instead. You can, however, use an AWS prefix list ID in an outbound security group rule. For more information, see </w:t>
      </w:r>
      <w:hyperlink r:id="rId15" w:anchor="vpc-endpoints-security-groups" w:history="1">
        <w:r w:rsidRPr="00A6361F">
          <w:rPr>
            <w:rFonts w:cstheme="minorHAnsi"/>
            <w:i/>
            <w:iCs/>
          </w:rPr>
          <w:t>Security groups</w:t>
        </w:r>
      </w:hyperlink>
      <w:r w:rsidRPr="00A6361F">
        <w:rPr>
          <w:rFonts w:cstheme="minorHAnsi"/>
          <w:i/>
          <w:iCs/>
        </w:rPr>
        <w:t>.</w:t>
      </w:r>
    </w:p>
    <w:p w14:paraId="4EB43D7F" w14:textId="77777777" w:rsidR="00A6361F" w:rsidRPr="00A6361F" w:rsidRDefault="00A6361F" w:rsidP="00A6361F">
      <w:pPr>
        <w:pStyle w:val="ListParagraph"/>
        <w:numPr>
          <w:ilvl w:val="0"/>
          <w:numId w:val="7"/>
        </w:numPr>
        <w:rPr>
          <w:rFonts w:cstheme="minorHAnsi"/>
          <w:i/>
          <w:iCs/>
        </w:rPr>
      </w:pPr>
      <w:r w:rsidRPr="00A6361F">
        <w:rPr>
          <w:rFonts w:cstheme="minorHAnsi"/>
          <w:i/>
          <w:iCs/>
        </w:rPr>
        <w:t>Endpoints are supported within the same Region only. You cannot create an endpoint between a VPC and a service in a different Region.</w:t>
      </w:r>
    </w:p>
    <w:p w14:paraId="73A80248" w14:textId="77777777" w:rsidR="00A6361F" w:rsidRPr="00A6361F" w:rsidRDefault="00A6361F" w:rsidP="00A6361F">
      <w:pPr>
        <w:pStyle w:val="ListParagraph"/>
        <w:numPr>
          <w:ilvl w:val="0"/>
          <w:numId w:val="7"/>
        </w:numPr>
        <w:rPr>
          <w:rFonts w:cstheme="minorHAnsi"/>
          <w:i/>
          <w:iCs/>
        </w:rPr>
      </w:pPr>
      <w:r w:rsidRPr="00A6361F">
        <w:rPr>
          <w:rFonts w:cstheme="minorHAnsi"/>
          <w:i/>
          <w:iCs/>
        </w:rPr>
        <w:t>Endpoints support IPv4 traffic only.</w:t>
      </w:r>
    </w:p>
    <w:p w14:paraId="0F6C797F" w14:textId="77777777" w:rsidR="00A6361F" w:rsidRPr="00A6361F" w:rsidRDefault="00A6361F" w:rsidP="00A6361F">
      <w:pPr>
        <w:pStyle w:val="ListParagraph"/>
        <w:numPr>
          <w:ilvl w:val="0"/>
          <w:numId w:val="7"/>
        </w:numPr>
        <w:rPr>
          <w:rFonts w:cstheme="minorHAnsi"/>
          <w:i/>
          <w:iCs/>
        </w:rPr>
      </w:pPr>
      <w:r w:rsidRPr="00A6361F">
        <w:rPr>
          <w:rFonts w:cstheme="minorHAnsi"/>
          <w:i/>
          <w:iCs/>
        </w:rPr>
        <w:t>You cannot transfer an endpoint from one VPC to another, or from one service to another.</w:t>
      </w:r>
    </w:p>
    <w:p w14:paraId="4F7DC1FF" w14:textId="77777777" w:rsidR="00A6361F" w:rsidRPr="00A6361F" w:rsidRDefault="00A6361F" w:rsidP="00A6361F">
      <w:pPr>
        <w:pStyle w:val="ListParagraph"/>
        <w:numPr>
          <w:ilvl w:val="0"/>
          <w:numId w:val="7"/>
        </w:numPr>
        <w:rPr>
          <w:rFonts w:cstheme="minorHAnsi"/>
          <w:i/>
          <w:iCs/>
        </w:rPr>
      </w:pPr>
      <w:r w:rsidRPr="00A6361F">
        <w:rPr>
          <w:rFonts w:cstheme="minorHAnsi"/>
          <w:i/>
          <w:iCs/>
        </w:rPr>
        <w:t>You have a quota on the number of endpoints you can create per VPC. For more information, see </w:t>
      </w:r>
      <w:hyperlink r:id="rId16" w:history="1">
        <w:r w:rsidRPr="00A6361F">
          <w:rPr>
            <w:rFonts w:cstheme="minorHAnsi"/>
            <w:i/>
            <w:iCs/>
          </w:rPr>
          <w:t xml:space="preserve">AWS </w:t>
        </w:r>
        <w:proofErr w:type="spellStart"/>
        <w:r w:rsidRPr="00A6361F">
          <w:rPr>
            <w:rFonts w:cstheme="minorHAnsi"/>
            <w:i/>
            <w:iCs/>
          </w:rPr>
          <w:t>PrivateLink</w:t>
        </w:r>
        <w:proofErr w:type="spellEnd"/>
        <w:r w:rsidRPr="00A6361F">
          <w:rPr>
            <w:rFonts w:cstheme="minorHAnsi"/>
            <w:i/>
            <w:iCs/>
          </w:rPr>
          <w:t xml:space="preserve"> quotas</w:t>
        </w:r>
      </w:hyperlink>
      <w:r w:rsidRPr="00A6361F">
        <w:rPr>
          <w:rFonts w:cstheme="minorHAnsi"/>
          <w:i/>
          <w:iCs/>
        </w:rPr>
        <w:t>.</w:t>
      </w:r>
    </w:p>
    <w:p w14:paraId="26882AB5" w14:textId="77777777" w:rsidR="00A6361F" w:rsidRPr="00A6361F" w:rsidRDefault="00A6361F" w:rsidP="00A6361F">
      <w:pPr>
        <w:pStyle w:val="ListParagraph"/>
        <w:numPr>
          <w:ilvl w:val="0"/>
          <w:numId w:val="7"/>
        </w:numPr>
        <w:rPr>
          <w:rFonts w:cstheme="minorHAnsi"/>
          <w:i/>
          <w:iCs/>
        </w:rPr>
      </w:pPr>
      <w:r w:rsidRPr="00A6361F">
        <w:rPr>
          <w:rFonts w:cstheme="minorHAnsi"/>
          <w:i/>
          <w:iCs/>
        </w:rPr>
        <w:t xml:space="preserve">Endpoint connections cannot be extended out of a VPC. Resources on the other side of a VPN connection, VPC peering connection, transit gateway, AWS Direct Connect connection, or </w:t>
      </w:r>
      <w:proofErr w:type="spellStart"/>
      <w:r w:rsidRPr="00A6361F">
        <w:rPr>
          <w:rFonts w:cstheme="minorHAnsi"/>
          <w:i/>
          <w:iCs/>
        </w:rPr>
        <w:t>ClassicLink</w:t>
      </w:r>
      <w:proofErr w:type="spellEnd"/>
      <w:r w:rsidRPr="00A6361F">
        <w:rPr>
          <w:rFonts w:cstheme="minorHAnsi"/>
          <w:i/>
          <w:iCs/>
        </w:rPr>
        <w:t xml:space="preserve"> connection in your VPC cannot use the endpoint to communicate with resources in the endpoint service.</w:t>
      </w:r>
    </w:p>
    <w:p w14:paraId="687ECFD6" w14:textId="77777777" w:rsidR="00BB5676" w:rsidRPr="000B77FE" w:rsidRDefault="00BB5676" w:rsidP="00A6361F">
      <w:pPr>
        <w:rPr>
          <w:rFonts w:cstheme="minorHAnsi"/>
          <w:i/>
          <w:iCs/>
        </w:rPr>
      </w:pPr>
    </w:p>
    <w:p w14:paraId="2F535175" w14:textId="7C8D4F91" w:rsidR="00115A3C" w:rsidRDefault="00115A3C" w:rsidP="008E7718">
      <w:pPr>
        <w:rPr>
          <w:rFonts w:cstheme="minorHAnsi"/>
          <w:i/>
          <w:iCs/>
          <w:sz w:val="32"/>
          <w:szCs w:val="32"/>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14:paraId="389960C1" w14:textId="7921D0B9" w:rsidR="006C3A42" w:rsidRPr="00D12729" w:rsidRDefault="006C3A42" w:rsidP="008E7718">
      <w:pPr>
        <w:rPr>
          <w:rFonts w:cstheme="minorHAnsi"/>
          <w:i/>
          <w:iCs/>
        </w:rPr>
      </w:pPr>
      <w:r w:rsidRPr="00D12729">
        <w:rPr>
          <w:rFonts w:cstheme="minorHAnsi"/>
          <w:i/>
          <w:iCs/>
        </w:rPr>
        <w:t>https://aws.amazon.com/vpc/pricing/</w:t>
      </w:r>
    </w:p>
    <w:p w14:paraId="1A486C08" w14:textId="77777777" w:rsidR="008E7718" w:rsidRPr="008E7718" w:rsidRDefault="008E7718" w:rsidP="008E7718">
      <w:pPr>
        <w:rPr>
          <w:rFonts w:cstheme="minorHAnsi"/>
          <w:sz w:val="32"/>
          <w:szCs w:val="32"/>
        </w:rPr>
      </w:pPr>
    </w:p>
    <w:p w14:paraId="59CE344F" w14:textId="77777777" w:rsidR="008E7718" w:rsidRPr="008E7718" w:rsidRDefault="008E7718" w:rsidP="008E7718">
      <w:pPr>
        <w:rPr>
          <w:rFonts w:cstheme="minorHAnsi"/>
          <w:sz w:val="32"/>
          <w:szCs w:val="32"/>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71F46118" w14:textId="11655C4F" w:rsidR="005F532A" w:rsidRPr="005F532A" w:rsidRDefault="00425442">
      <w:pPr>
        <w:rPr>
          <w:rFonts w:cstheme="minorHAnsi"/>
          <w:i/>
          <w:iCs/>
        </w:rPr>
      </w:pPr>
      <w:hyperlink r:id="rId17" w:history="1">
        <w:r>
          <w:rPr>
            <w:rStyle w:val="Hyperlink"/>
          </w:rPr>
          <w:t xml:space="preserve">AWS </w:t>
        </w:r>
        <w:proofErr w:type="spellStart"/>
        <w:r>
          <w:rPr>
            <w:rStyle w:val="Hyperlink"/>
          </w:rPr>
          <w:t>PrivateLink</w:t>
        </w:r>
        <w:proofErr w:type="spellEnd"/>
        <w:r>
          <w:rPr>
            <w:rStyle w:val="Hyperlink"/>
          </w:rPr>
          <w:t xml:space="preserve"> and VPC endpoints - Amazon Virtual Private Cloud</w:t>
        </w:r>
      </w:hyperlink>
    </w:p>
    <w:sectPr w:rsidR="005F532A" w:rsidRPr="005F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909D3"/>
    <w:multiLevelType w:val="multilevel"/>
    <w:tmpl w:val="384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E34A3"/>
    <w:multiLevelType w:val="hybridMultilevel"/>
    <w:tmpl w:val="1324A658"/>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65D6"/>
    <w:multiLevelType w:val="hybridMultilevel"/>
    <w:tmpl w:val="0DA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E1D5D"/>
    <w:multiLevelType w:val="multilevel"/>
    <w:tmpl w:val="493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81AF3"/>
    <w:multiLevelType w:val="hybridMultilevel"/>
    <w:tmpl w:val="6226E64E"/>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31A14"/>
    <w:multiLevelType w:val="hybridMultilevel"/>
    <w:tmpl w:val="5C9EB11A"/>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902BE"/>
    <w:multiLevelType w:val="multilevel"/>
    <w:tmpl w:val="D2A0C17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41655"/>
    <w:rsid w:val="00083CA7"/>
    <w:rsid w:val="00087DA2"/>
    <w:rsid w:val="000B77FE"/>
    <w:rsid w:val="000D380F"/>
    <w:rsid w:val="000E70BD"/>
    <w:rsid w:val="000E721C"/>
    <w:rsid w:val="00111553"/>
    <w:rsid w:val="00115A3C"/>
    <w:rsid w:val="00166A25"/>
    <w:rsid w:val="001F10E6"/>
    <w:rsid w:val="0020791E"/>
    <w:rsid w:val="00232358"/>
    <w:rsid w:val="002941F2"/>
    <w:rsid w:val="002E28B9"/>
    <w:rsid w:val="0030004F"/>
    <w:rsid w:val="00305E61"/>
    <w:rsid w:val="00315215"/>
    <w:rsid w:val="003152E3"/>
    <w:rsid w:val="0033061A"/>
    <w:rsid w:val="00391A52"/>
    <w:rsid w:val="003B5B4C"/>
    <w:rsid w:val="003B7E9D"/>
    <w:rsid w:val="00425442"/>
    <w:rsid w:val="00474684"/>
    <w:rsid w:val="004953CA"/>
    <w:rsid w:val="004D2F81"/>
    <w:rsid w:val="005024BC"/>
    <w:rsid w:val="00534BBD"/>
    <w:rsid w:val="00541610"/>
    <w:rsid w:val="00570509"/>
    <w:rsid w:val="005C1AF4"/>
    <w:rsid w:val="005F532A"/>
    <w:rsid w:val="006025F1"/>
    <w:rsid w:val="0064199F"/>
    <w:rsid w:val="00674B3F"/>
    <w:rsid w:val="00684347"/>
    <w:rsid w:val="006C3A42"/>
    <w:rsid w:val="007437B0"/>
    <w:rsid w:val="00780E99"/>
    <w:rsid w:val="007A7194"/>
    <w:rsid w:val="007E4393"/>
    <w:rsid w:val="0082494B"/>
    <w:rsid w:val="0084044A"/>
    <w:rsid w:val="008C12FD"/>
    <w:rsid w:val="008C6F9E"/>
    <w:rsid w:val="008D78BC"/>
    <w:rsid w:val="008E7718"/>
    <w:rsid w:val="00927912"/>
    <w:rsid w:val="009A0E13"/>
    <w:rsid w:val="009C5698"/>
    <w:rsid w:val="009F1946"/>
    <w:rsid w:val="00A227A8"/>
    <w:rsid w:val="00A6361F"/>
    <w:rsid w:val="00AA05FE"/>
    <w:rsid w:val="00AB5FE1"/>
    <w:rsid w:val="00B03F4B"/>
    <w:rsid w:val="00B0674A"/>
    <w:rsid w:val="00B20535"/>
    <w:rsid w:val="00BA33B0"/>
    <w:rsid w:val="00BB5676"/>
    <w:rsid w:val="00BF0816"/>
    <w:rsid w:val="00C84E81"/>
    <w:rsid w:val="00CB411C"/>
    <w:rsid w:val="00CE3D3D"/>
    <w:rsid w:val="00D12729"/>
    <w:rsid w:val="00D354D7"/>
    <w:rsid w:val="00D50649"/>
    <w:rsid w:val="00D537AD"/>
    <w:rsid w:val="00D66C40"/>
    <w:rsid w:val="00E23D24"/>
    <w:rsid w:val="00E96C18"/>
    <w:rsid w:val="00EA0A82"/>
    <w:rsid w:val="00EC52CD"/>
    <w:rsid w:val="00EE0BA0"/>
    <w:rsid w:val="00F3602C"/>
    <w:rsid w:val="00F633EC"/>
    <w:rsid w:val="00F72BDD"/>
    <w:rsid w:val="00FB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customStyle="1" w:styleId="Heading3Char">
    <w:name w:val="Heading 3 Char"/>
    <w:basedOn w:val="DefaultParagraphFont"/>
    <w:link w:val="Heading3"/>
    <w:uiPriority w:val="9"/>
    <w:semiHidden/>
    <w:rsid w:val="00CE3D3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customStyle="1" w:styleId="Heading1Char">
    <w:name w:val="Heading 1 Char"/>
    <w:basedOn w:val="DefaultParagraphFont"/>
    <w:link w:val="Heading1"/>
    <w:uiPriority w:val="9"/>
    <w:rsid w:val="00D537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9614">
      <w:bodyDiv w:val="1"/>
      <w:marLeft w:val="0"/>
      <w:marRight w:val="0"/>
      <w:marTop w:val="0"/>
      <w:marBottom w:val="0"/>
      <w:divBdr>
        <w:top w:val="none" w:sz="0" w:space="0" w:color="auto"/>
        <w:left w:val="none" w:sz="0" w:space="0" w:color="auto"/>
        <w:bottom w:val="none" w:sz="0" w:space="0" w:color="auto"/>
        <w:right w:val="none" w:sz="0" w:space="0" w:color="auto"/>
      </w:divBdr>
    </w:div>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302590161">
      <w:bodyDiv w:val="1"/>
      <w:marLeft w:val="0"/>
      <w:marRight w:val="0"/>
      <w:marTop w:val="0"/>
      <w:marBottom w:val="0"/>
      <w:divBdr>
        <w:top w:val="none" w:sz="0" w:space="0" w:color="auto"/>
        <w:left w:val="none" w:sz="0" w:space="0" w:color="auto"/>
        <w:bottom w:val="none" w:sz="0" w:space="0" w:color="auto"/>
        <w:right w:val="none" w:sz="0" w:space="0" w:color="auto"/>
      </w:divBdr>
      <w:divsChild>
        <w:div w:id="677511719">
          <w:marLeft w:val="0"/>
          <w:marRight w:val="0"/>
          <w:marTop w:val="0"/>
          <w:marBottom w:val="240"/>
          <w:divBdr>
            <w:top w:val="none" w:sz="0" w:space="0" w:color="auto"/>
            <w:left w:val="none" w:sz="0" w:space="0" w:color="auto"/>
            <w:bottom w:val="none" w:sz="0" w:space="0" w:color="auto"/>
            <w:right w:val="none" w:sz="0" w:space="0" w:color="auto"/>
          </w:divBdr>
        </w:div>
      </w:divsChild>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1033504610">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264920940">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378093015">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882400371">
      <w:bodyDiv w:val="1"/>
      <w:marLeft w:val="0"/>
      <w:marRight w:val="0"/>
      <w:marTop w:val="0"/>
      <w:marBottom w:val="0"/>
      <w:divBdr>
        <w:top w:val="none" w:sz="0" w:space="0" w:color="auto"/>
        <w:left w:val="none" w:sz="0" w:space="0" w:color="auto"/>
        <w:bottom w:val="none" w:sz="0" w:space="0" w:color="auto"/>
        <w:right w:val="none" w:sz="0" w:space="0" w:color="auto"/>
      </w:divBdr>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 w:id="2094739237">
      <w:bodyDiv w:val="1"/>
      <w:marLeft w:val="0"/>
      <w:marRight w:val="0"/>
      <w:marTop w:val="0"/>
      <w:marBottom w:val="0"/>
      <w:divBdr>
        <w:top w:val="none" w:sz="0" w:space="0" w:color="auto"/>
        <w:left w:val="none" w:sz="0" w:space="0" w:color="auto"/>
        <w:bottom w:val="none" w:sz="0" w:space="0" w:color="auto"/>
        <w:right w:val="none" w:sz="0" w:space="0" w:color="auto"/>
      </w:divBdr>
    </w:div>
    <w:div w:id="20968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privatelink/vpce-interface.html" TargetMode="External"/><Relationship Id="rId13" Type="http://schemas.openxmlformats.org/officeDocument/2006/relationships/hyperlink" Target="https://docs.aws.amazon.com/vpc/latest/privatelink/vpce-gateway-load-balanc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vpc/latest/privatelink/vpce-interface.html" TargetMode="External"/><Relationship Id="rId17" Type="http://schemas.openxmlformats.org/officeDocument/2006/relationships/hyperlink" Target="https://docs.aws.amazon.com/vpc/latest/privatelink/endpoint-services-overview.html" TargetMode="External"/><Relationship Id="rId2" Type="http://schemas.openxmlformats.org/officeDocument/2006/relationships/customXml" Target="../customXml/item2.xml"/><Relationship Id="rId16" Type="http://schemas.openxmlformats.org/officeDocument/2006/relationships/hyperlink" Target="https://docs.aws.amazon.com/vpc/latest/privatelink/vpc-limits-endpoin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vpc/latest/privatelink/endpoint-service.html" TargetMode="External"/><Relationship Id="rId5" Type="http://schemas.openxmlformats.org/officeDocument/2006/relationships/styles" Target="styles.xml"/><Relationship Id="rId15" Type="http://schemas.openxmlformats.org/officeDocument/2006/relationships/hyperlink" Target="https://docs.aws.amazon.com/vpc/latest/privatelink/vpc-endpoints-access.html" TargetMode="External"/><Relationship Id="rId10" Type="http://schemas.openxmlformats.org/officeDocument/2006/relationships/hyperlink" Target="https://docs.aws.amazon.com/elasticloadbalancing/latest/gatewa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aws.amazon.com/vpc/latest/privatelink/vpce-gateway-load-balancer.html" TargetMode="External"/><Relationship Id="rId14" Type="http://schemas.openxmlformats.org/officeDocument/2006/relationships/hyperlink" Target="https://docs.aws.amazon.com/vpc/latest/privatelink/vpce-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Andrei Niasiuk</cp:lastModifiedBy>
  <cp:revision>20</cp:revision>
  <dcterms:created xsi:type="dcterms:W3CDTF">2021-04-18T11:06:00Z</dcterms:created>
  <dcterms:modified xsi:type="dcterms:W3CDTF">2021-04-18T11:30:00Z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