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Federated Learning for Human Activity Recognition</w:t>
      </w:r>
    </w:p>
    <w:p>
      <w:pPr>
        <w:spacing w:after="400"/>
        <w:jc w:val="center"/>
      </w:pPr>
      <w:r>
        <w:rPr>
          <w:i/>
          <w:iCs/>
          <w:sz w:val="24"/>
          <w:szCs w:val="24"/>
        </w:rPr>
        <w:t xml:space="preserve">Papers Using HHAR Dataset - Experimental Settings, Results &amp; Non-IID Analysis</w:t>
      </w:r>
    </w:p>
    <w:p>
      <w:pPr>
        <w:pStyle w:val="Heading1"/>
      </w:pPr>
      <w:r>
        <w:t xml:space="preserve">1. Overview</w:t>
      </w:r>
    </w:p>
    <w:p>
      <w:pPr>
        <w:spacing w:after="200"/>
      </w:pPr>
      <w:r>
        <w:t xml:space="preserve">This document summarizes 5 research papers that have specifically used HHAR (Heterogeneity Human Activity Recognition) dataset for federated learning experiments. It includes experimental settings, accuracy results, and detailed non-IID data partitioning strategies.</w:t>
      </w:r>
    </w:p>
    <w:p>
      <w:pPr>
        <w:pStyle w:val="Heading1"/>
      </w:pPr>
      <w:r>
        <w:t xml:space="preserve">2. Summary of 5 HHAR Papers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1200"/>
        <w:gridCol w:w="900"/>
        <w:gridCol w:w="900"/>
        <w:gridCol w:w="1200"/>
        <w:gridCol w:w="1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Paper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Dataset(s)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Rounds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Epochs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 Acc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Central Acc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Sozinov 2018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HHAR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DNN/Softmax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78-89%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83-93%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Meta-HAR 2021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HHAR, USC-HAD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CNN+MAML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75-90%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&gt;97%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FedDist 2022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HHAR, RealWorld, SHL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CNN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74%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92%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FedAli 2024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HHAR, RealWorld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HART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Best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Gudur 2020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HHAR (4 activities)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Distillation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+11%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</w:tr>
    </w:tbl>
    <w:p>
      <w:pPr>
        <w:pStyle w:val="Heading1"/>
      </w:pPr>
      <w:r>
        <w:t xml:space="preserve">3. Detailed Experimental Settings</w:t>
      </w:r>
    </w:p>
    <w:p>
      <w:pPr>
        <w:pStyle w:val="Heading2"/>
      </w:pPr>
      <w:r>
        <w:t xml:space="preserve">3.1 Sozinov et al. (2018)</w:t>
      </w:r>
    </w:p>
    <w:p>
      <w:pPr>
        <w:spacing w:after="100"/>
      </w:pPr>
      <w:r>
        <w:rPr>
          <w:b/>
          <w:bCs/>
        </w:rPr>
        <w:t xml:space="preserve">Paper: </w:t>
      </w:r>
      <w:r>
        <w:t xml:space="preserve">"Human Activity Recognition Using Federated Learning" - IEEE BDCloud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Value/Description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Dataset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HHAR - 9 users, 6 activities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Preprocessing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Window: 3s with 50% overlap, resampled to 65Hz, 32 statistical features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Models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DNN: 2 hidden layers, 100 neurons each (24,006 params); Softmax: 198 params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Learning Rate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0.001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Batch Size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DNN: 100; Softmax: 50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Local Epochs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DNN: 1; Softmax: 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Comm. Rounds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 to 1000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DNN Accuracy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Non-IID: 87% FL vs 93% centralized; Uniform: 89% FL vs 93% centralized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Softmax Accuracy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Non-IID: 78% FL vs 83% centralized; Uniform: 80% FL vs 83% centralized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3.2 Meta-HAR (Li et al., 2021)</w:t>
      </w:r>
    </w:p>
    <w:p>
      <w:pPr>
        <w:spacing w:after="100"/>
      </w:pPr>
      <w:r>
        <w:rPr>
          <w:b/>
          <w:bCs/>
        </w:rPr>
        <w:t xml:space="preserve">Paper: </w:t>
      </w:r>
      <w:r>
        <w:t xml:space="preserve">"Meta-HAR: Federated Representation Learning for Human Activity Recognition" - WWW 2021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Value/Description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Datasets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HHAR, USC-HAD, newly collected dataset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Architecture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Signal embedding network (MAML) + personalized classification network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Optimizer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Adam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Local Epochs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epochs per round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Loss Function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Pairwise loss (embedding) + Cross-entropy (classification)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Central Accuracy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&gt;97% on HHAR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FedAvg Accuracy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&lt;80% on HHAR (signal heterogeneity causes ~20% drop)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Meta-HAR Accuracy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75.83% (HHAR meta-test), +24.7% over FedReptile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3.3 FedDist (Ek et al., 2022)</w:t>
      </w:r>
    </w:p>
    <w:p>
      <w:pPr>
        <w:spacing w:after="100"/>
      </w:pPr>
      <w:r>
        <w:rPr>
          <w:b/>
          <w:bCs/>
        </w:rPr>
        <w:t xml:space="preserve">Paper: </w:t>
      </w:r>
      <w:r>
        <w:t xml:space="preserve">"Evaluation and comparison of FL algorithms for HAR on smartphones" - PMC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Value/Description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Datasets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HHAR (51 clients), RealWorld (15 clients), SHL (9 clients)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CNN architecture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Optimizer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Mini-batch SGD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Batch Size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Dropout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0.50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Comm. Rounds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Local Epochs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Train/Test Split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80%/20% per client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FedDist Accuracy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Generalization: 74.23%, Global F-Score: best among FL methods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3.4 FedAli (Ek et al., 2024)</w:t>
      </w:r>
    </w:p>
    <w:p>
      <w:pPr>
        <w:spacing w:after="100"/>
      </w:pPr>
      <w:r>
        <w:rPr>
          <w:b/>
          <w:bCs/>
        </w:rPr>
        <w:t xml:space="preserve">Paper: </w:t>
      </w:r>
      <w:r>
        <w:t xml:space="preserve">"FedAli: Personalized Federated Learning with Aligned Prototypes" - arXiv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Value/Description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Datasets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HHAR (36 clients), RealWorld (105 clients), Combined (141 clients)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HART transformer: 6 encoder blocks, projection size 192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Optimizer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Adam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Learning Rate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1e-4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Batch Size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64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Comm. Rounds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Train/Test Split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80%/20% class-stratified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FedAli Results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Best on HHAR; &gt;20% generalization gain with pre-training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3.5 Gudur et al. (2020)</w:t>
      </w:r>
    </w:p>
    <w:p>
      <w:pPr>
        <w:spacing w:after="100"/>
      </w:pPr>
      <w:r>
        <w:rPr>
          <w:b/>
          <w:bCs/>
        </w:rPr>
        <w:t xml:space="preserve">Paper: </w:t>
      </w:r>
      <w:r>
        <w:t xml:space="preserve">"Federated Learning with Heterogeneous Labels and Models" - NeurIPS MLMH Workshop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Value/Description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Dataset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HHAR with 4 activities (subset)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Hardware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Raspberry Pi 2 (on-device FL)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Method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Model Distillation Update with federated label-based aggregation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Innovation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Transfer model scores instead of weights; handles label heterogeneity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Accuracy Gain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~11.01% average deterministic accuracy increase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Non-IID Data Partitioning Strategies</w:t>
      </w:r>
    </w:p>
    <w:p>
      <w:pPr>
        <w:spacing w:after="200"/>
      </w:pPr>
      <w:r>
        <w:t xml:space="preserve">This section details how each of the 5 HHAR papers implemented non-IID data partitioning. Understanding these strategies is crucial for reproducing results and designing new experiments.</w:t>
      </w:r>
    </w:p>
    <w:p>
      <w:pPr>
        <w:pStyle w:val="Heading2"/>
      </w:pPr>
      <w:r>
        <w:t xml:space="preserve">4.1 Sozinov et al. (2018) - Three Non-IID Settings</w:t>
      </w:r>
    </w:p>
    <w:p>
      <w:pPr>
        <w:spacing w:before="100" w:after="100"/>
      </w:pPr>
      <w:r>
        <w:rPr>
          <w:b/>
          <w:bCs/>
          <w:color w:val="C00000"/>
        </w:rPr>
        <w:t xml:space="preserve">Setting A: Non-IID &amp; Unbalanced (Pathological)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Clients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27 clients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Partitioning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Each of 9 users split into 3 clients (9 × 3 = 27)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Activities/Client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activities only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Balance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One activity has 50% less data than the other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Example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 1a: [Walking 100%, Sitting 50%]; Client 1b: [Standing 100%, Biking 50%]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Non-IID Type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Label skew + Quantity imbalance</w:t>
            </w:r>
          </w:p>
        </w:tc>
      </w:tr>
    </w:tbl>
    <w:p>
      <w:pPr>
        <w:spacing w:before="150" w:after="100"/>
      </w:pPr>
      <w:r>
        <w:rPr>
          <w:b/>
          <w:bCs/>
          <w:color w:val="2E75B6"/>
        </w:rPr>
        <w:t xml:space="preserve">Setting B: Uniform Distribution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Clients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 clients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Partitioning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Each user = 1 client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Activities/Client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 activities (all)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Balance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Equal samples per activity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Non-IID Type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Signal heterogeneity only (different users/devices)</w:t>
            </w:r>
          </w:p>
        </w:tc>
      </w:tr>
    </w:tbl>
    <w:p>
      <w:pPr>
        <w:spacing w:before="150" w:after="100"/>
      </w:pPr>
      <w:r>
        <w:rPr>
          <w:b/>
          <w:bCs/>
          <w:color w:val="7030A0"/>
        </w:rPr>
        <w:t xml:space="preserve">Setting C: Skewed Distribution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Clients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 clients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Partitioning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skewed client + 8 uniform clients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Skewed Client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Only 1 activity (e.g., Walking only)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Other Clients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 activities each (uniform)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Non-IID Type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Extreme local specialization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4.2 Meta-HAR (2021) - Activity Removal Strategy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Base Partitioning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User-based (each user = 1 client)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Activity Removal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Randomly remove k ∈ {0, 1, 2} activities per user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Filter Criteria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Keep only users with ≥3 activities remaining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Activities/Client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4-6 activities (variable)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Clients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~48 clients (after merging HHAR + USC-HAD)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Non-IID Type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Missing labels + Signal heterogeneity</w:t>
            </w:r>
          </w:p>
        </w:tc>
      </w:tr>
    </w:tbl>
    <w:p>
      <w:pPr>
        <w:spacing w:before="100"/>
      </w:pPr>
      <w:r>
        <w:rPr>
          <w:b/>
          <w:bCs/>
        </w:rPr>
        <w:t xml:space="preserve">Key Finding: </w:t>
      </w:r>
      <w:r>
        <w:t xml:space="preserve">Signal heterogeneity alone (same labels, different sensors) causes ~20% accuracy drop: Centralized &gt;97% vs FedAvg &lt;80%</w:t>
      </w:r>
    </w:p>
    <w:p>
      <w:pPr>
        <w:spacing w:before="200"/>
      </w:pPr>
    </w:p>
    <w:p>
      <w:pPr>
        <w:pStyle w:val="Heading2"/>
      </w:pPr>
      <w:r>
        <w:t xml:space="preserve">4.3 FedDist (2022) - Device-Based Partitioning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Partitioning Logic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Each (user, device) combination = 1 client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HHAR Devices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 smartphones + 4 smartwatches per user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Clients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51 clients for HHAR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Activities/Client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 activities (all)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Train/Test Split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80%/20% per client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Non-IID Sources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Device heterogeneity + User behavior + Sampling rate (50-200Hz)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4.4 FedAli (2024) - Consolidated Device Partitioning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Partitioning Logic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Each (user, device_type) = 1 client (identical models combined)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Device Types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types: LG Nexus 4, Samsung S3, S3 mini, S+ (2 of each per user)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Clients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36 clients for HHAR (9 users × 4 device types)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Activities/Client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 activities (all)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Combined Dataset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HHAR (36) + RealWorld (105) = 141 clients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Non-IID Sources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Device type + User + Position (RealWorld) + Activity set differences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4.5 Gudur et al. (2020) - Label Heterogeneity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Activity Subset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activities (subset of 6 for clearer analysis)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Key Innovation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Different clients may have DIFFERENT label sets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Example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 1: {Walk, Sit, Stand}; Client 2: {Sit, Stand, Bike}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Challenge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How to aggregate models with different output classes?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Solution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Model Distillation - transfer scores for overlapping activities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Non-IID Type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Label space heterogeneity (different labels per client)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Non-IID Partitioning Summary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1000"/>
        <w:gridCol w:w="1200"/>
        <w:gridCol w:w="33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Paper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Partitioning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Activities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Non-IID Type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Sozinov (Pathological)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split into 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Label skew + Quantity imbalance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Sozinov (Uniform)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User-based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Signal heterogeneity only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Sozinov (Skewed)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extreme + 8 uniform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or 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Extreme local specialization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Meta-HAR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Activity removal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4-6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Missing labels + Signal heterogeneity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FedDist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(User, Device)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Device + User heterogeneity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FedAli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(User, Device_type)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Device type + User heterogeneity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Gudur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Label heterogeneity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Variable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Different label spaces per client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Comparison with Current Implementation</w:t>
      </w:r>
    </w:p>
    <w:p>
      <w:pPr>
        <w:pStyle w:val="Heading2"/>
      </w:pPr>
      <w:r>
        <w:t xml:space="preserve">6.1 Your Current Non-IID Setup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Implementation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Clients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Partitioning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User-based (each of 9 HHAR users = 1 client)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Activities/Client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 (all activities)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Balance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Natural distribution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Non-IID Source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Signal heterogeneity only (different users/devices)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HierFL Setup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servers × 3 clients = 9 total</w:t>
            </w:r>
          </w:p>
        </w:tc>
      </w:tr>
    </w:tbl>
    <w:p>
      <w:pPr>
        <w:spacing w:before="200"/>
      </w:pPr>
      <w:r>
        <w:rPr>
          <w:b/>
          <w:bCs/>
          <w:color w:val="2E75B6"/>
        </w:rPr>
        <w:t xml:space="preserve">Closest Match: </w:t>
      </w:r>
      <w:r>
        <w:rPr>
          <w:b/>
          <w:bCs/>
        </w:rPr>
        <w:t xml:space="preserve">Sozinov's Uniform Setting</w:t>
      </w:r>
      <w:r>
        <w:t xml:space="preserve"> - This is the LEAST non-IID setting (only ~4-6% accuracy drop reported).</w:t>
      </w:r>
    </w:p>
    <w:p>
      <w:pPr>
        <w:spacing w:before="200"/>
      </w:pPr>
    </w:p>
    <w:p>
      <w:pPr>
        <w:pStyle w:val="Heading2"/>
      </w:pPr>
      <w:r>
        <w:t xml:space="preserve">6.2 Gap Analysis: Your Settings vs HHAR Papers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2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Setup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Sozinov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FedDist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FedAli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9-27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36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Rounds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Learning 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SGD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1e-4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Batch Size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50-100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Local Epochs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1D CNN (23K)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DNN (24K)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CNN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HART Transformer</w:t>
            </w:r>
          </w:p>
        </w:tc>
      </w:tr>
    </w:tbl>
    <w:p>
      <w:pPr>
        <w:spacing w:before="100"/>
      </w:pPr>
      <w:r>
        <w:rPr>
          <w:b/>
          <w:bCs/>
        </w:rPr>
        <w:t xml:space="preserve">Legend: </w:t>
      </w:r>
      <w:r>
        <w:rPr>
          <w:color w:val="006400"/>
        </w:rPr>
        <w:t xml:space="preserve">Green</w:t>
      </w:r>
      <w:r>
        <w:t xml:space="preserve"> = Match, </w:t>
      </w:r>
      <w:r>
        <w:rPr>
          <w:color w:val="806000"/>
        </w:rPr>
        <w:t xml:space="preserve">Yellow</w:t>
      </w:r>
      <w:r>
        <w:t xml:space="preserve"> = Partial match, </w:t>
      </w:r>
      <w:r>
        <w:rPr>
          <w:color w:val="C00000"/>
        </w:rPr>
        <w:t xml:space="preserve">Red</w:t>
      </w:r>
      <w:r>
        <w:t xml:space="preserve"> = Significant difference</w:t>
      </w:r>
    </w:p>
    <w:p>
      <w:r>
        <w:br w:type="page"/>
      </w:r>
    </w:p>
    <w:p>
      <w:pPr>
        <w:pStyle w:val="Heading1"/>
      </w:pPr>
      <w:r>
        <w:t xml:space="preserve">7. Recommendations for Scaling</w:t>
      </w:r>
    </w:p>
    <w:p>
      <w:pPr>
        <w:spacing w:after="100"/>
      </w:pPr>
      <w:r>
        <w:t xml:space="preserve">Based on the 5 HHAR papers, here are recommended non-IID configurations for scaling your experiments:</w:t>
      </w:r>
    </w:p>
    <w:p>
      <w:pPr>
        <w:pStyle w:val="Heading2"/>
      </w:pPr>
      <w:r>
        <w:t xml:space="preserve">7.1 Option A: FedAli Style (RECOMMENDED)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Clients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36 clients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Partitioning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Each (user, device_type) = 1 client → 9 users × 4 device types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Activities/Client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 (all activities)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Server Option 1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servers: Users 1-3, Users 4-6, Users 7-9 (12 clients each)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Server Option 2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servers by device type: Nexus 4, S3, S3 mini, S+ (9 clients each)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Non-IID Type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Natural device + user heterogeneity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Published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 - FedAli 2024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7.2 Option B: Sozinov Pathological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Clients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27 clients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Partitioning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Split each user into 3 → 9 × 3 = 27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Activities/Client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activities (one with 50% less data)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Server Setup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servers: 9 clients each (by user groups)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Non-IID Type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Label skew + Quantity imbalance (challenging)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Published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 - Sozinov 2018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7.3 Option C: FedDist Style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Clients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51 clients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Partitioning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Each (user, device) = 1 client (every device separate)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Activities/Client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 activities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Server Setup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5+ servers needed (e.g., ~10 clients each)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Non-IID Type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Device + User heterogeneity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Published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 - FedDist 2022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7.4 Final Recommendation</w:t>
      </w:r>
    </w:p>
    <w:p>
      <w:pPr>
        <w:spacing w:after="100"/>
      </w:pPr>
      <w:r>
        <w:rPr>
          <w:b/>
          <w:bCs/>
        </w:rPr>
        <w:t xml:space="preserve">For your HierFL experiments with increased servers and clients, use FedAli Style (36 clients) because:</w:t>
      </w:r>
    </w:p>
    <w:p>
      <w:pPr>
        <w:pStyle w:val="ListParagraph"/>
        <w:numPr>
          <w:ilvl w:val="0"/>
          <w:numId w:val="2"/>
        </w:numPr>
      </w:pPr>
      <w:r>
        <w:t xml:space="preserve">Published in peer-reviewed venue (FedAli 2024)</w:t>
      </w:r>
    </w:p>
    <w:p>
      <w:pPr>
        <w:pStyle w:val="ListParagraph"/>
        <w:numPr>
          <w:ilvl w:val="0"/>
          <w:numId w:val="2"/>
        </w:numPr>
      </w:pPr>
      <w:r>
        <w:t xml:space="preserve">Natural non-IID (no artificial manipulation)</w:t>
      </w:r>
    </w:p>
    <w:p>
      <w:pPr>
        <w:pStyle w:val="ListParagraph"/>
        <w:numPr>
          <w:ilvl w:val="0"/>
          <w:numId w:val="2"/>
        </w:numPr>
      </w:pPr>
      <w:r>
        <w:t xml:space="preserve">36 clients divides evenly into 3, 4, 6, 9, or 12 servers</w:t>
      </w:r>
    </w:p>
    <w:p>
      <w:pPr>
        <w:pStyle w:val="ListParagraph"/>
        <w:numPr>
          <w:ilvl w:val="0"/>
          <w:numId w:val="2"/>
        </w:numPr>
      </w:pPr>
      <w:r>
        <w:t xml:space="preserve">All 6 activities preserved (fair comparison)</w:t>
      </w:r>
    </w:p>
    <w:p>
      <w:pPr>
        <w:pStyle w:val="ListParagraph"/>
        <w:numPr>
          <w:ilvl w:val="0"/>
          <w:numId w:val="2"/>
        </w:numPr>
      </w:pPr>
      <w:r>
        <w:t xml:space="preserve">Realistic device heterogeneity scenario</w:t>
      </w:r>
    </w:p>
    <w:p>
      <w:pPr>
        <w:pStyle w:val="Heading1"/>
      </w:pPr>
      <w:r>
        <w:t xml:space="preserve">8. References</w:t>
      </w:r>
    </w:p>
    <w:p>
      <w:pPr>
        <w:spacing w:after="80"/>
      </w:pPr>
      <w:r>
        <w:rPr>
          <w:b/>
          <w:bCs/>
        </w:rPr>
        <w:t xml:space="preserve">[1] </w:t>
      </w:r>
      <w:r>
        <w:t xml:space="preserve">Sozinov, K., Vlassov, V., &amp; Girdzijauskas, S. (2018). Human Activity Recognition Using Federated Learning. IEEE BDCloud.</w:t>
      </w:r>
    </w:p>
    <w:p>
      <w:pPr>
        <w:spacing w:after="80"/>
      </w:pPr>
      <w:r>
        <w:rPr>
          <w:b/>
          <w:bCs/>
        </w:rPr>
        <w:t xml:space="preserve">[2] </w:t>
      </w:r>
      <w:r>
        <w:t xml:space="preserve">Li, C., Niu, D., Jiang, B., Zuo, X., &amp; Yang, J. (2021). Meta-HAR: Federated Representation Learning for Human Activity Recognition. WWW 2021.</w:t>
      </w:r>
    </w:p>
    <w:p>
      <w:pPr>
        <w:spacing w:after="80"/>
      </w:pPr>
      <w:r>
        <w:rPr>
          <w:b/>
          <w:bCs/>
        </w:rPr>
        <w:t xml:space="preserve">[3] </w:t>
      </w:r>
      <w:r>
        <w:t xml:space="preserve">Ek, S., Portet, F., Lalanda, P., &amp; Vega, G. (2022). Evaluation and comparison of FL algorithms for HAR on smartphones. PMC.</w:t>
      </w:r>
    </w:p>
    <w:p>
      <w:pPr>
        <w:spacing w:after="80"/>
      </w:pPr>
      <w:r>
        <w:rPr>
          <w:b/>
          <w:bCs/>
        </w:rPr>
        <w:t xml:space="preserve">[4] </w:t>
      </w:r>
      <w:r>
        <w:t xml:space="preserve">Ek, S., Wang, K., Portet, F., Lalanda, P., &amp; Cao, J. (2024). FedAli: Personalized Federated Learning with Aligned Prototypes. arXiv.</w:t>
      </w:r>
    </w:p>
    <w:p>
      <w:pPr>
        <w:spacing w:after="80"/>
      </w:pPr>
      <w:r>
        <w:rPr>
          <w:b/>
          <w:bCs/>
        </w:rPr>
        <w:t xml:space="preserve">[5] </w:t>
      </w:r>
      <w:r>
        <w:t xml:space="preserve">Gudur, G.K., et al. (2020). Federated Learning with Heterogeneous Labels and Models. NeurIPS MLMH Workshop.</w:t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sz w:val="18"/>
        <w:szCs w:val="18"/>
      </w:rPr>
      <w:t xml:space="preserve">Federated Learning for HAR - Literature Review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F4E79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50" w:after="8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2026-01-01T19:33:28.620Z</dcterms:created>
  <dcterms:modified xsi:type="dcterms:W3CDTF">2026-01-01T19:33:28.621Z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