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26"/>
        </w:rPr>
        <w:t>EXL IDEATANK</w:t>
        <w:br/>
      </w:r>
      <w:r>
        <w:rPr>
          <w:b/>
          <w:color w:val="12304A"/>
          <w:sz w:val="52"/>
        </w:rPr>
        <w:t>All Discussed Idea Drafts</w:t>
        <w:br/>
      </w:r>
      <w:r>
        <w:rPr>
          <w:sz w:val="24"/>
        </w:rPr>
        <w:t>Corporate concept portfolio, POC plans and validation notes</w:t>
      </w:r>
    </w:p>
    <w:p>
      <w:pPr>
        <w:jc w:val="center"/>
      </w:pPr>
      <w:r>
        <w:t>Compiled 28 October 2026 • For internal evaluation</w:t>
      </w:r>
    </w:p>
    <w:p>
      <w:pPr>
        <w:pStyle w:val="Heading1"/>
      </w:pPr>
      <w:r>
        <w:t>How to use this portfolio</w:t>
      </w:r>
    </w:p>
    <w:p>
      <w:r>
        <w:t>This document consolidates the new ideas developed in the conversation. Each idea includes the problem, proposed solution, capabilities, POC, potential value, revenue hypothesis, technology stack and validation risks. Concepts are not confirmed EXL products and are not evidence of market demand.</w:t>
      </w:r>
    </w:p>
    <w:p>
      <w:pPr>
        <w:pStyle w:val="Heading1"/>
      </w:pPr>
      <w:r>
        <w:t>Priority and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04A"/>
            <w:vAlign w:val="center"/>
          </w:tcPr>
          <w:p>
            <w:pPr>
              <w:spacing w:after="40"/>
            </w:pPr>
            <w:r/>
            <w:r>
              <w:rPr>
                <w:rFonts w:ascii="Aptos" w:hAnsi="Aptos"/>
                <w:b/>
                <w:color w:val="FFFFFF"/>
                <w:sz w:val="17"/>
              </w:rPr>
              <w:t>Status</w:t>
            </w:r>
          </w:p>
        </w:tc>
        <w:tc>
          <w:tcPr>
            <w:tcW w:type="dxa" w:w="3389"/>
            <w:shd w:fill="12304A"/>
            <w:vAlign w:val="center"/>
          </w:tcPr>
          <w:p>
            <w:pPr>
              <w:spacing w:after="40"/>
            </w:pPr>
            <w:r/>
            <w:r>
              <w:rPr>
                <w:rFonts w:ascii="Aptos" w:hAnsi="Aptos"/>
                <w:b/>
                <w:color w:val="FFFFFF"/>
                <w:sz w:val="17"/>
              </w:rPr>
              <w:t>Concept</w:t>
            </w:r>
          </w:p>
        </w:tc>
        <w:tc>
          <w:tcPr>
            <w:tcW w:type="dxa" w:w="3389"/>
            <w:shd w:fill="12304A"/>
            <w:vAlign w:val="center"/>
          </w:tcPr>
          <w:p>
            <w:pPr>
              <w:spacing w:after="40"/>
            </w:pPr>
            <w:r/>
            <w:r>
              <w:rPr>
                <w:rFonts w:ascii="Aptos" w:hAnsi="Aptos"/>
                <w:b/>
                <w:color w:val="FFFFFF"/>
                <w:sz w:val="17"/>
              </w:rPr>
              <w:t>Decision note</w:t>
            </w:r>
          </w:p>
        </w:tc>
      </w:tr>
      <w:tr>
        <w:tc>
          <w:tcPr>
            <w:tcW w:type="dxa" w:w="3389"/>
            <w:shd w:fill="F1F6F8"/>
            <w:vAlign w:val="center"/>
          </w:tcPr>
          <w:p>
            <w:pPr>
              <w:spacing w:after="40"/>
            </w:pPr>
            <w:r/>
            <w:r>
              <w:rPr>
                <w:rFonts w:ascii="Aptos" w:hAnsi="Aptos"/>
                <w:b w:val="0"/>
                <w:sz w:val="17"/>
              </w:rPr>
              <w:t>Primary candidate</w:t>
            </w:r>
          </w:p>
        </w:tc>
        <w:tc>
          <w:tcPr>
            <w:tcW w:type="dxa" w:w="3389"/>
            <w:shd w:fill="F1F6F8"/>
            <w:vAlign w:val="center"/>
          </w:tcPr>
          <w:p>
            <w:pPr>
              <w:spacing w:after="40"/>
            </w:pPr>
            <w:r/>
            <w:r>
              <w:rPr>
                <w:rFonts w:ascii="Aptos" w:hAnsi="Aptos"/>
                <w:b w:val="0"/>
                <w:sz w:val="17"/>
              </w:rPr>
              <w:t>Project Atlas</w:t>
            </w:r>
          </w:p>
        </w:tc>
        <w:tc>
          <w:tcPr>
            <w:tcW w:type="dxa" w:w="3389"/>
            <w:shd w:fill="F1F6F8"/>
            <w:vAlign w:val="center"/>
          </w:tcPr>
          <w:p>
            <w:pPr>
              <w:spacing w:after="40"/>
            </w:pPr>
            <w:r/>
            <w:r>
              <w:rPr>
                <w:rFonts w:ascii="Aptos" w:hAnsi="Aptos"/>
                <w:b w:val="0"/>
                <w:sz w:val="17"/>
              </w:rPr>
              <w:t>Best current broad proposal; recommended first MVP is the narrower Commercial Risk Validator.</w:t>
            </w:r>
          </w:p>
        </w:tc>
      </w:tr>
      <w:tr>
        <w:tc>
          <w:tcPr>
            <w:tcW w:type="dxa" w:w="3389"/>
            <w:vAlign w:val="center"/>
          </w:tcPr>
          <w:p>
            <w:pPr>
              <w:spacing w:after="40"/>
            </w:pPr>
            <w:r/>
            <w:r>
              <w:rPr>
                <w:rFonts w:ascii="Aptos" w:hAnsi="Aptos"/>
                <w:b w:val="0"/>
                <w:sz w:val="17"/>
              </w:rPr>
              <w:t>Locked working concept</w:t>
            </w:r>
          </w:p>
        </w:tc>
        <w:tc>
          <w:tcPr>
            <w:tcW w:type="dxa" w:w="3389"/>
            <w:vAlign w:val="center"/>
          </w:tcPr>
          <w:p>
            <w:pPr>
              <w:spacing w:after="40"/>
            </w:pPr>
            <w:r/>
            <w:r>
              <w:rPr>
                <w:rFonts w:ascii="Aptos" w:hAnsi="Aptos"/>
                <w:b w:val="0"/>
                <w:sz w:val="17"/>
              </w:rPr>
              <w:t>Project Polaris</w:t>
            </w:r>
          </w:p>
        </w:tc>
        <w:tc>
          <w:tcPr>
            <w:tcW w:type="dxa" w:w="3389"/>
            <w:vAlign w:val="center"/>
          </w:tcPr>
          <w:p>
            <w:pPr>
              <w:spacing w:after="40"/>
            </w:pPr>
            <w:r/>
            <w:r>
              <w:rPr>
                <w:rFonts w:ascii="Aptos" w:hAnsi="Aptos"/>
                <w:b w:val="0"/>
                <w:sz w:val="17"/>
              </w:rPr>
              <w:t>AI outcome assurance; selected as a working concept, but not yet commercially validated.</w:t>
            </w:r>
          </w:p>
        </w:tc>
      </w:tr>
      <w:tr>
        <w:tc>
          <w:tcPr>
            <w:tcW w:type="dxa" w:w="3389"/>
            <w:shd w:fill="F1F6F8"/>
            <w:vAlign w:val="center"/>
          </w:tcPr>
          <w:p>
            <w:pPr>
              <w:spacing w:after="40"/>
            </w:pPr>
            <w:r/>
            <w:r>
              <w:rPr>
                <w:rFonts w:ascii="Aptos" w:hAnsi="Aptos"/>
                <w:b w:val="0"/>
                <w:sz w:val="17"/>
              </w:rPr>
              <w:t>Focused energy concept</w:t>
            </w:r>
          </w:p>
        </w:tc>
        <w:tc>
          <w:tcPr>
            <w:tcW w:type="dxa" w:w="3389"/>
            <w:shd w:fill="F1F6F8"/>
            <w:vAlign w:val="center"/>
          </w:tcPr>
          <w:p>
            <w:pPr>
              <w:spacing w:after="40"/>
            </w:pPr>
            <w:r/>
            <w:r>
              <w:rPr>
                <w:rFonts w:ascii="Aptos" w:hAnsi="Aptos"/>
                <w:b w:val="0"/>
                <w:sz w:val="17"/>
              </w:rPr>
              <w:t>Project Vela</w:t>
            </w:r>
          </w:p>
        </w:tc>
        <w:tc>
          <w:tcPr>
            <w:tcW w:type="dxa" w:w="3389"/>
            <w:shd w:fill="F1F6F8"/>
            <w:vAlign w:val="center"/>
          </w:tcPr>
          <w:p>
            <w:pPr>
              <w:spacing w:after="40"/>
            </w:pPr>
            <w:r/>
            <w:r>
              <w:rPr>
                <w:rFonts w:ascii="Aptos" w:hAnsi="Aptos"/>
                <w:b w:val="0"/>
                <w:sz w:val="17"/>
              </w:rPr>
              <w:t>Solar-first, software-only cyber-risk and energy-loss intelligence; no hardware integration, live grid connection or autonomous control in POC.</w:t>
            </w:r>
          </w:p>
        </w:tc>
      </w:tr>
      <w:tr>
        <w:tc>
          <w:tcPr>
            <w:tcW w:type="dxa" w:w="3389"/>
            <w:vAlign w:val="center"/>
          </w:tcPr>
          <w:p>
            <w:pPr>
              <w:spacing w:after="40"/>
            </w:pPr>
            <w:r/>
            <w:r>
              <w:rPr>
                <w:rFonts w:ascii="Aptos" w:hAnsi="Aptos"/>
                <w:b w:val="0"/>
                <w:sz w:val="17"/>
              </w:rPr>
              <w:t>Exploratory</w:t>
            </w:r>
          </w:p>
        </w:tc>
        <w:tc>
          <w:tcPr>
            <w:tcW w:type="dxa" w:w="3389"/>
            <w:vAlign w:val="center"/>
          </w:tcPr>
          <w:p>
            <w:pPr>
              <w:spacing w:after="40"/>
            </w:pPr>
            <w:r/>
            <w:r>
              <w:rPr>
                <w:rFonts w:ascii="Aptos" w:hAnsi="Aptos"/>
                <w:b w:val="0"/>
                <w:sz w:val="17"/>
              </w:rPr>
              <w:t>NOVA</w:t>
            </w:r>
          </w:p>
        </w:tc>
        <w:tc>
          <w:tcPr>
            <w:tcW w:type="dxa" w:w="3389"/>
            <w:vAlign w:val="center"/>
          </w:tcPr>
          <w:p>
            <w:pPr>
              <w:spacing w:after="40"/>
            </w:pPr>
            <w:r/>
            <w:r>
              <w:rPr>
                <w:rFonts w:ascii="Aptos" w:hAnsi="Aptos"/>
                <w:b w:val="0"/>
                <w:sz w:val="17"/>
              </w:rPr>
              <w:t>Multi-cloud workload value optimization; explicit overlap risk with existing Cloud MOF.</w:t>
            </w:r>
          </w:p>
        </w:tc>
      </w:tr>
      <w:tr>
        <w:tc>
          <w:tcPr>
            <w:tcW w:type="dxa" w:w="3389"/>
            <w:shd w:fill="F1F6F8"/>
            <w:vAlign w:val="center"/>
          </w:tcPr>
          <w:p>
            <w:pPr>
              <w:spacing w:after="40"/>
            </w:pPr>
            <w:r/>
            <w:r>
              <w:rPr>
                <w:rFonts w:ascii="Aptos" w:hAnsi="Aptos"/>
                <w:b w:val="0"/>
                <w:sz w:val="17"/>
              </w:rPr>
              <w:t>Exploratory</w:t>
            </w:r>
          </w:p>
        </w:tc>
        <w:tc>
          <w:tcPr>
            <w:tcW w:type="dxa" w:w="3389"/>
            <w:shd w:fill="F1F6F8"/>
            <w:vAlign w:val="center"/>
          </w:tcPr>
          <w:p>
            <w:pPr>
              <w:spacing w:after="40"/>
            </w:pPr>
            <w:r/>
            <w:r>
              <w:rPr>
                <w:rFonts w:ascii="Aptos" w:hAnsi="Aptos"/>
                <w:b w:val="0"/>
                <w:sz w:val="17"/>
              </w:rPr>
              <w:t>DecisionBridge / DataGuard / AI Release Assurance / RevenueGuard / ProcessPilot / DataBridge</w:t>
            </w:r>
          </w:p>
        </w:tc>
        <w:tc>
          <w:tcPr>
            <w:tcW w:type="dxa" w:w="3389"/>
            <w:shd w:fill="F1F6F8"/>
            <w:vAlign w:val="center"/>
          </w:tcPr>
          <w:p>
            <w:pPr>
              <w:spacing w:after="40"/>
            </w:pPr>
            <w:r/>
            <w:r>
              <w:rPr>
                <w:rFonts w:ascii="Aptos" w:hAnsi="Aptos"/>
                <w:b w:val="0"/>
                <w:sz w:val="17"/>
              </w:rPr>
              <w:t>Require buyer discovery and internal portfolio overlap checks.</w:t>
            </w:r>
          </w:p>
        </w:tc>
      </w:tr>
      <w:tr>
        <w:tc>
          <w:tcPr>
            <w:tcW w:type="dxa" w:w="3389"/>
            <w:vAlign w:val="center"/>
          </w:tcPr>
          <w:p>
            <w:pPr>
              <w:spacing w:after="40"/>
            </w:pPr>
            <w:r/>
            <w:r>
              <w:rPr>
                <w:rFonts w:ascii="Aptos" w:hAnsi="Aptos"/>
                <w:b w:val="0"/>
                <w:sz w:val="17"/>
              </w:rPr>
              <w:t>Early-stage directions</w:t>
            </w:r>
          </w:p>
        </w:tc>
        <w:tc>
          <w:tcPr>
            <w:tcW w:type="dxa" w:w="3389"/>
            <w:vAlign w:val="center"/>
          </w:tcPr>
          <w:p>
            <w:pPr>
              <w:spacing w:after="40"/>
            </w:pPr>
            <w:r/>
            <w:r>
              <w:rPr>
                <w:rFonts w:ascii="Aptos" w:hAnsi="Aptos"/>
                <w:b w:val="0"/>
                <w:sz w:val="17"/>
              </w:rPr>
              <w:t>Helios / Midas / Apollo / Prometheus</w:t>
            </w:r>
          </w:p>
        </w:tc>
        <w:tc>
          <w:tcPr>
            <w:tcW w:type="dxa" w:w="3389"/>
            <w:vAlign w:val="center"/>
          </w:tcPr>
          <w:p>
            <w:pPr>
              <w:spacing w:after="40"/>
            </w:pPr>
            <w:r/>
            <w:r>
              <w:rPr>
                <w:rFonts w:ascii="Aptos" w:hAnsi="Aptos"/>
                <w:b w:val="0"/>
                <w:sz w:val="17"/>
              </w:rPr>
              <w:t>Discussed briefly; not selected as current priorities.</w:t>
            </w:r>
          </w:p>
        </w:tc>
      </w:tr>
    </w:tbl>
    <w:p>
      <w:pPr>
        <w:pStyle w:val="Heading1"/>
      </w:pPr>
      <w:r>
        <w:t>Idea portfolio flow</w:t>
      </w:r>
    </w:p>
    <w:p>
      <w:pPr>
        <w:jc w:val="center"/>
      </w:pPr>
      <w:r>
        <w:rPr>
          <w:b/>
        </w:rPr>
        <w:t>Business problem + approved data</w:t>
        <w:br/>
        <w:t>↓</w:t>
        <w:br/>
        <w:t>Domain-specific analysis and deterministic validation</w:t>
        <w:br/>
        <w:t>↓</w:t>
        <w:br/>
        <w:t>Evidence-linked findings / scenarios</w:t>
        <w:br/>
        <w:t>↓</w:t>
        <w:br/>
        <w:t>Human review and decision</w:t>
        <w:br/>
        <w:t>↓</w:t>
        <w:br/>
        <w:t>Measured outcomes and feedback</w:t>
      </w:r>
    </w:p>
    <w:p>
      <w:r>
        <w:t>For Vela, the flow is specialised: synthetic solar assets + cyber indicators + generation time series → validation and normalisation → anomaly/risk correlation → explainable prioritisation → human-reviewed investigation report.</w:t>
      </w:r>
    </w:p>
    <w:p>
      <w:pPr>
        <w:pStyle w:val="Heading1"/>
      </w:pPr>
      <w:r>
        <w:t>Consolidated idea comparison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2304A"/>
            <w:vAlign w:val="center"/>
          </w:tcPr>
          <w:p>
            <w:pPr>
              <w:spacing w:after="40"/>
            </w:pPr>
            <w:r/>
            <w:r>
              <w:rPr>
                <w:rFonts w:ascii="Aptos" w:hAnsi="Aptos"/>
                <w:b/>
                <w:color w:val="FFFFFF"/>
                <w:sz w:val="17"/>
              </w:rPr>
              <w:t>Idea</w:t>
            </w:r>
          </w:p>
        </w:tc>
        <w:tc>
          <w:tcPr>
            <w:tcW w:type="dxa" w:w="2541"/>
            <w:shd w:fill="12304A"/>
            <w:vAlign w:val="center"/>
          </w:tcPr>
          <w:p>
            <w:pPr>
              <w:spacing w:after="40"/>
            </w:pPr>
            <w:r/>
            <w:r>
              <w:rPr>
                <w:rFonts w:ascii="Aptos" w:hAnsi="Aptos"/>
                <w:b/>
                <w:color w:val="FFFFFF"/>
                <w:sz w:val="17"/>
              </w:rPr>
              <w:t>Initial buyer / user hypothesis</w:t>
            </w:r>
          </w:p>
        </w:tc>
        <w:tc>
          <w:tcPr>
            <w:tcW w:type="dxa" w:w="2541"/>
            <w:shd w:fill="12304A"/>
            <w:vAlign w:val="center"/>
          </w:tcPr>
          <w:p>
            <w:pPr>
              <w:spacing w:after="40"/>
            </w:pPr>
            <w:r/>
            <w:r>
              <w:rPr>
                <w:rFonts w:ascii="Aptos" w:hAnsi="Aptos"/>
                <w:b/>
                <w:color w:val="FFFFFF"/>
                <w:sz w:val="17"/>
              </w:rPr>
              <w:t>Demo hook</w:t>
            </w:r>
          </w:p>
        </w:tc>
        <w:tc>
          <w:tcPr>
            <w:tcW w:type="dxa" w:w="2541"/>
            <w:shd w:fill="12304A"/>
            <w:vAlign w:val="center"/>
          </w:tcPr>
          <w:p>
            <w:pPr>
              <w:spacing w:after="40"/>
            </w:pPr>
            <w:r/>
            <w:r>
              <w:rPr>
                <w:rFonts w:ascii="Aptos" w:hAnsi="Aptos"/>
                <w:b/>
                <w:color w:val="FFFFFF"/>
                <w:sz w:val="17"/>
              </w:rPr>
              <w:t>Key validation risk</w:t>
            </w:r>
          </w:p>
        </w:tc>
      </w:tr>
      <w:tr>
        <w:tc>
          <w:tcPr>
            <w:tcW w:type="dxa" w:w="2541"/>
            <w:shd w:fill="F1F6F8"/>
            <w:vAlign w:val="center"/>
          </w:tcPr>
          <w:p>
            <w:pPr>
              <w:spacing w:after="40"/>
            </w:pPr>
            <w:r/>
            <w:r>
              <w:rPr>
                <w:rFonts w:ascii="Aptos" w:hAnsi="Aptos"/>
                <w:b w:val="0"/>
                <w:sz w:val="15"/>
              </w:rPr>
              <w:t>Project Atlas</w:t>
            </w:r>
          </w:p>
        </w:tc>
        <w:tc>
          <w:tcPr>
            <w:tcW w:type="dxa" w:w="2541"/>
            <w:shd w:fill="F1F6F8"/>
            <w:vAlign w:val="center"/>
          </w:tcPr>
          <w:p>
            <w:pPr>
              <w:spacing w:after="40"/>
            </w:pPr>
            <w:r/>
            <w:r>
              <w:rPr>
                <w:rFonts w:ascii="Aptos" w:hAnsi="Aptos"/>
                <w:b w:val="0"/>
                <w:sz w:val="15"/>
              </w:rPr>
              <w:t>Consulting proposal / transformation teams</w:t>
            </w:r>
          </w:p>
        </w:tc>
        <w:tc>
          <w:tcPr>
            <w:tcW w:type="dxa" w:w="2541"/>
            <w:shd w:fill="F1F6F8"/>
            <w:vAlign w:val="center"/>
          </w:tcPr>
          <w:p>
            <w:pPr>
              <w:spacing w:after="40"/>
            </w:pPr>
            <w:r/>
            <w:r>
              <w:rPr>
                <w:rFonts w:ascii="Aptos" w:hAnsi="Aptos"/>
                <w:b w:val="0"/>
                <w:sz w:val="15"/>
              </w:rPr>
              <w:t>Find seeded proposal inconsistencies</w:t>
            </w:r>
          </w:p>
        </w:tc>
        <w:tc>
          <w:tcPr>
            <w:tcW w:type="dxa" w:w="2541"/>
            <w:shd w:fill="F1F6F8"/>
            <w:vAlign w:val="center"/>
          </w:tcPr>
          <w:p>
            <w:pPr>
              <w:spacing w:after="40"/>
            </w:pPr>
            <w:r/>
            <w:r>
              <w:rPr>
                <w:rFonts w:ascii="Aptos" w:hAnsi="Aptos"/>
                <w:b w:val="0"/>
                <w:sz w:val="15"/>
              </w:rPr>
              <w:t>Competitive proposal and document intelligence market; possible overlap with existing EXL capabilities; financial assumptions and source evi</w:t>
            </w:r>
          </w:p>
        </w:tc>
      </w:tr>
      <w:tr>
        <w:tc>
          <w:tcPr>
            <w:tcW w:type="dxa" w:w="2541"/>
            <w:vAlign w:val="center"/>
          </w:tcPr>
          <w:p>
            <w:pPr>
              <w:spacing w:after="40"/>
            </w:pPr>
            <w:r/>
            <w:r>
              <w:rPr>
                <w:rFonts w:ascii="Aptos" w:hAnsi="Aptos"/>
                <w:b w:val="0"/>
                <w:sz w:val="15"/>
              </w:rPr>
              <w:t>Atlas MVP</w:t>
            </w:r>
          </w:p>
        </w:tc>
        <w:tc>
          <w:tcPr>
            <w:tcW w:type="dxa" w:w="2541"/>
            <w:vAlign w:val="center"/>
          </w:tcPr>
          <w:p>
            <w:pPr>
              <w:spacing w:after="40"/>
            </w:pPr>
            <w:r/>
            <w:r>
              <w:rPr>
                <w:rFonts w:ascii="Aptos" w:hAnsi="Aptos"/>
                <w:b w:val="0"/>
                <w:sz w:val="15"/>
              </w:rPr>
              <w:t>Proposal reviewers / commercial leaders</w:t>
            </w:r>
          </w:p>
        </w:tc>
        <w:tc>
          <w:tcPr>
            <w:tcW w:type="dxa" w:w="2541"/>
            <w:vAlign w:val="center"/>
          </w:tcPr>
          <w:p>
            <w:pPr>
              <w:spacing w:after="40"/>
            </w:pPr>
            <w:r/>
            <w:r>
              <w:rPr>
                <w:rFonts w:ascii="Aptos" w:hAnsi="Aptos"/>
                <w:b w:val="0"/>
                <w:sz w:val="15"/>
              </w:rPr>
              <w:t>Flag 3 financial/delivery defects</w:t>
            </w:r>
          </w:p>
        </w:tc>
        <w:tc>
          <w:tcPr>
            <w:tcW w:type="dxa" w:w="2541"/>
            <w:vAlign w:val="center"/>
          </w:tcPr>
          <w:p>
            <w:pPr>
              <w:spacing w:after="40"/>
            </w:pPr>
            <w:r/>
            <w:r>
              <w:rPr>
                <w:rFonts w:ascii="Aptos" w:hAnsi="Aptos"/>
                <w:b w:val="0"/>
                <w:sz w:val="15"/>
              </w:rPr>
              <w:t>Subset of Atlas; keep as one MVP option unless a separate buyer and budget are established.</w:t>
            </w:r>
          </w:p>
        </w:tc>
      </w:tr>
      <w:tr>
        <w:tc>
          <w:tcPr>
            <w:tcW w:type="dxa" w:w="2541"/>
            <w:shd w:fill="F1F6F8"/>
            <w:vAlign w:val="center"/>
          </w:tcPr>
          <w:p>
            <w:pPr>
              <w:spacing w:after="40"/>
            </w:pPr>
            <w:r/>
            <w:r>
              <w:rPr>
                <w:rFonts w:ascii="Aptos" w:hAnsi="Aptos"/>
                <w:b w:val="0"/>
                <w:sz w:val="15"/>
              </w:rPr>
              <w:t>Project Polaris</w:t>
            </w:r>
          </w:p>
        </w:tc>
        <w:tc>
          <w:tcPr>
            <w:tcW w:type="dxa" w:w="2541"/>
            <w:shd w:fill="F1F6F8"/>
            <w:vAlign w:val="center"/>
          </w:tcPr>
          <w:p>
            <w:pPr>
              <w:spacing w:after="40"/>
            </w:pPr>
            <w:r/>
            <w:r>
              <w:rPr>
                <w:rFonts w:ascii="Aptos" w:hAnsi="Aptos"/>
                <w:b w:val="0"/>
                <w:sz w:val="15"/>
              </w:rPr>
              <w:t>AI programme owners / finance / operations</w:t>
            </w:r>
          </w:p>
        </w:tc>
        <w:tc>
          <w:tcPr>
            <w:tcW w:type="dxa" w:w="2541"/>
            <w:shd w:fill="F1F6F8"/>
            <w:vAlign w:val="center"/>
          </w:tcPr>
          <w:p>
            <w:pPr>
              <w:spacing w:after="40"/>
            </w:pPr>
            <w:r/>
            <w:r>
              <w:rPr>
                <w:rFonts w:ascii="Aptos" w:hAnsi="Aptos"/>
                <w:b w:val="0"/>
                <w:sz w:val="15"/>
              </w:rPr>
              <w:t>Compare baseline vs simulated AI outcomes</w:t>
            </w:r>
          </w:p>
        </w:tc>
        <w:tc>
          <w:tcPr>
            <w:tcW w:type="dxa" w:w="2541"/>
            <w:shd w:fill="F1F6F8"/>
            <w:vAlign w:val="center"/>
          </w:tcPr>
          <w:p>
            <w:pPr>
              <w:spacing w:after="40"/>
            </w:pPr>
            <w:r/>
            <w:r>
              <w:rPr>
                <w:rFonts w:ascii="Aptos" w:hAnsi="Aptos"/>
                <w:b w:val="0"/>
                <w:sz w:val="15"/>
              </w:rPr>
              <w:t>Attribution is difficult; avoid claiming causality without appropriate study design. Check overlap with EXL AI governance and decision intel</w:t>
            </w:r>
          </w:p>
        </w:tc>
      </w:tr>
      <w:tr>
        <w:tc>
          <w:tcPr>
            <w:tcW w:type="dxa" w:w="2541"/>
            <w:vAlign w:val="center"/>
          </w:tcPr>
          <w:p>
            <w:pPr>
              <w:spacing w:after="40"/>
            </w:pPr>
            <w:r/>
            <w:r>
              <w:rPr>
                <w:rFonts w:ascii="Aptos" w:hAnsi="Aptos"/>
                <w:b w:val="0"/>
                <w:sz w:val="15"/>
              </w:rPr>
              <w:t>DecisionBridge AI</w:t>
            </w:r>
          </w:p>
        </w:tc>
        <w:tc>
          <w:tcPr>
            <w:tcW w:type="dxa" w:w="2541"/>
            <w:vAlign w:val="center"/>
          </w:tcPr>
          <w:p>
            <w:pPr>
              <w:spacing w:after="40"/>
            </w:pPr>
            <w:r/>
            <w:r>
              <w:rPr>
                <w:rFonts w:ascii="Aptos" w:hAnsi="Aptos"/>
                <w:b w:val="0"/>
                <w:sz w:val="15"/>
              </w:rPr>
              <w:t>Strategy and analytics teams</w:t>
            </w:r>
          </w:p>
        </w:tc>
        <w:tc>
          <w:tcPr>
            <w:tcW w:type="dxa" w:w="2541"/>
            <w:vAlign w:val="center"/>
          </w:tcPr>
          <w:p>
            <w:pPr>
              <w:spacing w:after="40"/>
            </w:pPr>
            <w:r/>
            <w:r>
              <w:rPr>
                <w:rFonts w:ascii="Aptos" w:hAnsi="Aptos"/>
                <w:b w:val="0"/>
                <w:sz w:val="15"/>
              </w:rPr>
              <w:t>Evidence-linked KPI investigation</w:t>
            </w:r>
          </w:p>
        </w:tc>
        <w:tc>
          <w:tcPr>
            <w:tcW w:type="dxa" w:w="2541"/>
            <w:vAlign w:val="center"/>
          </w:tcPr>
          <w:p>
            <w:pPr>
              <w:spacing w:after="40"/>
            </w:pPr>
            <w:r/>
            <w:r>
              <w:rPr>
                <w:rFonts w:ascii="Aptos" w:hAnsi="Aptos"/>
                <w:b w:val="0"/>
                <w:sz w:val="15"/>
              </w:rPr>
              <w:t>Crowded BI/copilot market; requires a specific workflow and clear gap versus existing tools.</w:t>
            </w:r>
          </w:p>
        </w:tc>
      </w:tr>
      <w:tr>
        <w:tc>
          <w:tcPr>
            <w:tcW w:type="dxa" w:w="2541"/>
            <w:shd w:fill="F1F6F8"/>
            <w:vAlign w:val="center"/>
          </w:tcPr>
          <w:p>
            <w:pPr>
              <w:spacing w:after="40"/>
            </w:pPr>
            <w:r/>
            <w:r>
              <w:rPr>
                <w:rFonts w:ascii="Aptos" w:hAnsi="Aptos"/>
                <w:b w:val="0"/>
                <w:sz w:val="15"/>
              </w:rPr>
              <w:t>DataGuard AI</w:t>
            </w:r>
          </w:p>
        </w:tc>
        <w:tc>
          <w:tcPr>
            <w:tcW w:type="dxa" w:w="2541"/>
            <w:shd w:fill="F1F6F8"/>
            <w:vAlign w:val="center"/>
          </w:tcPr>
          <w:p>
            <w:pPr>
              <w:spacing w:after="40"/>
            </w:pPr>
            <w:r/>
            <w:r>
              <w:rPr>
                <w:rFonts w:ascii="Aptos" w:hAnsi="Aptos"/>
                <w:b w:val="0"/>
                <w:sz w:val="15"/>
              </w:rPr>
              <w:t>Data platform / engineering leaders</w:t>
            </w:r>
          </w:p>
        </w:tc>
        <w:tc>
          <w:tcPr>
            <w:tcW w:type="dxa" w:w="2541"/>
            <w:shd w:fill="F1F6F8"/>
            <w:vAlign w:val="center"/>
          </w:tcPr>
          <w:p>
            <w:pPr>
              <w:spacing w:after="40"/>
            </w:pPr>
            <w:r/>
            <w:r>
              <w:rPr>
                <w:rFonts w:ascii="Aptos" w:hAnsi="Aptos"/>
                <w:b w:val="0"/>
                <w:sz w:val="15"/>
              </w:rPr>
              <w:t>Trace a schema change downstream</w:t>
            </w:r>
          </w:p>
        </w:tc>
        <w:tc>
          <w:tcPr>
            <w:tcW w:type="dxa" w:w="2541"/>
            <w:shd w:fill="F1F6F8"/>
            <w:vAlign w:val="center"/>
          </w:tcPr>
          <w:p>
            <w:pPr>
              <w:spacing w:after="40"/>
            </w:pPr>
            <w:r/>
            <w:r>
              <w:rPr>
                <w:rFonts w:ascii="Aptos" w:hAnsi="Aptos"/>
                <w:b w:val="0"/>
                <w:sz w:val="15"/>
              </w:rPr>
              <w:t>Overlap with metadata catalogs, observability tools and internal Meta Workbench-type initiatives.</w:t>
            </w:r>
          </w:p>
        </w:tc>
      </w:tr>
      <w:tr>
        <w:tc>
          <w:tcPr>
            <w:tcW w:type="dxa" w:w="2541"/>
            <w:vAlign w:val="center"/>
          </w:tcPr>
          <w:p>
            <w:pPr>
              <w:spacing w:after="40"/>
            </w:pPr>
            <w:r/>
            <w:r>
              <w:rPr>
                <w:rFonts w:ascii="Aptos" w:hAnsi="Aptos"/>
                <w:b w:val="0"/>
                <w:sz w:val="15"/>
              </w:rPr>
              <w:t>AI Release Assurance</w:t>
            </w:r>
          </w:p>
        </w:tc>
        <w:tc>
          <w:tcPr>
            <w:tcW w:type="dxa" w:w="2541"/>
            <w:vAlign w:val="center"/>
          </w:tcPr>
          <w:p>
            <w:pPr>
              <w:spacing w:after="40"/>
            </w:pPr>
            <w:r/>
            <w:r>
              <w:rPr>
                <w:rFonts w:ascii="Aptos" w:hAnsi="Aptos"/>
                <w:b w:val="0"/>
                <w:sz w:val="15"/>
              </w:rPr>
              <w:t>AI engineering / platform teams</w:t>
            </w:r>
          </w:p>
        </w:tc>
        <w:tc>
          <w:tcPr>
            <w:tcW w:type="dxa" w:w="2541"/>
            <w:vAlign w:val="center"/>
          </w:tcPr>
          <w:p>
            <w:pPr>
              <w:spacing w:after="40"/>
            </w:pPr>
            <w:r/>
            <w:r>
              <w:rPr>
                <w:rFonts w:ascii="Aptos" w:hAnsi="Aptos"/>
                <w:b w:val="0"/>
                <w:sz w:val="15"/>
              </w:rPr>
              <w:t>Detect regression between versions</w:t>
            </w:r>
          </w:p>
        </w:tc>
        <w:tc>
          <w:tcPr>
            <w:tcW w:type="dxa" w:w="2541"/>
            <w:vAlign w:val="center"/>
          </w:tcPr>
          <w:p>
            <w:pPr>
              <w:spacing w:after="40"/>
            </w:pPr>
            <w:r/>
            <w:r>
              <w:rPr>
                <w:rFonts w:ascii="Aptos" w:hAnsi="Aptos"/>
                <w:b w:val="0"/>
                <w:sz w:val="15"/>
              </w:rPr>
              <w:t>Strong overlap risk with LLM Control Hub and commercial evaluation platforms; needs a distinct capability gap.</w:t>
            </w:r>
          </w:p>
        </w:tc>
      </w:tr>
      <w:tr>
        <w:tc>
          <w:tcPr>
            <w:tcW w:type="dxa" w:w="2541"/>
            <w:shd w:fill="F1F6F8"/>
            <w:vAlign w:val="center"/>
          </w:tcPr>
          <w:p>
            <w:pPr>
              <w:spacing w:after="40"/>
            </w:pPr>
            <w:r/>
            <w:r>
              <w:rPr>
                <w:rFonts w:ascii="Aptos" w:hAnsi="Aptos"/>
                <w:b w:val="0"/>
                <w:sz w:val="15"/>
              </w:rPr>
              <w:t>RevenueGuard AI</w:t>
            </w:r>
          </w:p>
        </w:tc>
        <w:tc>
          <w:tcPr>
            <w:tcW w:type="dxa" w:w="2541"/>
            <w:shd w:fill="F1F6F8"/>
            <w:vAlign w:val="center"/>
          </w:tcPr>
          <w:p>
            <w:pPr>
              <w:spacing w:after="40"/>
            </w:pPr>
            <w:r/>
            <w:r>
              <w:rPr>
                <w:rFonts w:ascii="Aptos" w:hAnsi="Aptos"/>
                <w:b w:val="0"/>
                <w:sz w:val="15"/>
              </w:rPr>
              <w:t>Finance operations / revenue assurance</w:t>
            </w:r>
          </w:p>
        </w:tc>
        <w:tc>
          <w:tcPr>
            <w:tcW w:type="dxa" w:w="2541"/>
            <w:shd w:fill="F1F6F8"/>
            <w:vAlign w:val="center"/>
          </w:tcPr>
          <w:p>
            <w:pPr>
              <w:spacing w:after="40"/>
            </w:pPr>
            <w:r/>
            <w:r>
              <w:rPr>
                <w:rFonts w:ascii="Aptos" w:hAnsi="Aptos"/>
                <w:b w:val="0"/>
                <w:sz w:val="15"/>
              </w:rPr>
              <w:t>Find seeded invoice/contract mismatch</w:t>
            </w:r>
          </w:p>
        </w:tc>
        <w:tc>
          <w:tcPr>
            <w:tcW w:type="dxa" w:w="2541"/>
            <w:shd w:fill="F1F6F8"/>
            <w:vAlign w:val="center"/>
          </w:tcPr>
          <w:p>
            <w:pPr>
              <w:spacing w:after="40"/>
            </w:pPr>
            <w:r/>
            <w:r>
              <w:rPr>
                <w:rFonts w:ascii="Aptos" w:hAnsi="Aptos"/>
                <w:b w:val="0"/>
                <w:sz w:val="15"/>
              </w:rPr>
              <w:t>Possible overlap with payment integrity and financial operations products; only confirmed recovered value counts as realised benefit.</w:t>
            </w:r>
          </w:p>
        </w:tc>
      </w:tr>
      <w:tr>
        <w:tc>
          <w:tcPr>
            <w:tcW w:type="dxa" w:w="2541"/>
            <w:vAlign w:val="center"/>
          </w:tcPr>
          <w:p>
            <w:pPr>
              <w:spacing w:after="40"/>
            </w:pPr>
            <w:r/>
            <w:r>
              <w:rPr>
                <w:rFonts w:ascii="Aptos" w:hAnsi="Aptos"/>
                <w:b w:val="0"/>
                <w:sz w:val="15"/>
              </w:rPr>
              <w:t>ProcessPilot AI</w:t>
            </w:r>
          </w:p>
        </w:tc>
        <w:tc>
          <w:tcPr>
            <w:tcW w:type="dxa" w:w="2541"/>
            <w:vAlign w:val="center"/>
          </w:tcPr>
          <w:p>
            <w:pPr>
              <w:spacing w:after="40"/>
            </w:pPr>
            <w:r/>
            <w:r>
              <w:rPr>
                <w:rFonts w:ascii="Aptos" w:hAnsi="Aptos"/>
                <w:b w:val="0"/>
                <w:sz w:val="15"/>
              </w:rPr>
              <w:t>Operations excellence leaders</w:t>
            </w:r>
          </w:p>
        </w:tc>
        <w:tc>
          <w:tcPr>
            <w:tcW w:type="dxa" w:w="2541"/>
            <w:vAlign w:val="center"/>
          </w:tcPr>
          <w:p>
            <w:pPr>
              <w:spacing w:after="40"/>
            </w:pPr>
            <w:r/>
            <w:r>
              <w:rPr>
                <w:rFonts w:ascii="Aptos" w:hAnsi="Aptos"/>
                <w:b w:val="0"/>
                <w:sz w:val="15"/>
              </w:rPr>
              <w:t>Identify a synthetic process bottleneck</w:t>
            </w:r>
          </w:p>
        </w:tc>
        <w:tc>
          <w:tcPr>
            <w:tcW w:type="dxa" w:w="2541"/>
            <w:vAlign w:val="center"/>
          </w:tcPr>
          <w:p>
            <w:pPr>
              <w:spacing w:after="40"/>
            </w:pPr>
            <w:r/>
            <w:r>
              <w:rPr>
                <w:rFonts w:ascii="Aptos" w:hAnsi="Aptos"/>
                <w:b w:val="0"/>
                <w:sz w:val="15"/>
              </w:rPr>
              <w:t>Competitive process-mining market; simulations alone do not prove causal impact.</w:t>
            </w:r>
          </w:p>
        </w:tc>
      </w:tr>
      <w:tr>
        <w:tc>
          <w:tcPr>
            <w:tcW w:type="dxa" w:w="2541"/>
            <w:shd w:fill="F1F6F8"/>
            <w:vAlign w:val="center"/>
          </w:tcPr>
          <w:p>
            <w:pPr>
              <w:spacing w:after="40"/>
            </w:pPr>
            <w:r/>
            <w:r>
              <w:rPr>
                <w:rFonts w:ascii="Aptos" w:hAnsi="Aptos"/>
                <w:b w:val="0"/>
                <w:sz w:val="15"/>
              </w:rPr>
              <w:t>DataBridge AI</w:t>
            </w:r>
          </w:p>
        </w:tc>
        <w:tc>
          <w:tcPr>
            <w:tcW w:type="dxa" w:w="2541"/>
            <w:shd w:fill="F1F6F8"/>
            <w:vAlign w:val="center"/>
          </w:tcPr>
          <w:p>
            <w:pPr>
              <w:spacing w:after="40"/>
            </w:pPr>
            <w:r/>
            <w:r>
              <w:rPr>
                <w:rFonts w:ascii="Aptos" w:hAnsi="Aptos"/>
                <w:b w:val="0"/>
                <w:sz w:val="15"/>
              </w:rPr>
              <w:t>AI delivery / data engineering teams</w:t>
            </w:r>
          </w:p>
        </w:tc>
        <w:tc>
          <w:tcPr>
            <w:tcW w:type="dxa" w:w="2541"/>
            <w:shd w:fill="F1F6F8"/>
            <w:vAlign w:val="center"/>
          </w:tcPr>
          <w:p>
            <w:pPr>
              <w:spacing w:after="40"/>
            </w:pPr>
            <w:r/>
            <w:r>
              <w:rPr>
                <w:rFonts w:ascii="Aptos" w:hAnsi="Aptos"/>
                <w:b w:val="0"/>
                <w:sz w:val="15"/>
              </w:rPr>
              <w:t>Prioritise defects blocking one AI use case</w:t>
            </w:r>
          </w:p>
        </w:tc>
        <w:tc>
          <w:tcPr>
            <w:tcW w:type="dxa" w:w="2541"/>
            <w:shd w:fill="F1F6F8"/>
            <w:vAlign w:val="center"/>
          </w:tcPr>
          <w:p>
            <w:pPr>
              <w:spacing w:after="40"/>
            </w:pPr>
            <w:r/>
            <w:r>
              <w:rPr>
                <w:rFonts w:ascii="Aptos" w:hAnsi="Aptos"/>
                <w:b w:val="0"/>
                <w:sz w:val="15"/>
              </w:rPr>
              <w:t>Overlap with data services, metadata tools and DataGuard; keep boundaries distinct.</w:t>
            </w:r>
          </w:p>
        </w:tc>
      </w:tr>
      <w:tr>
        <w:tc>
          <w:tcPr>
            <w:tcW w:type="dxa" w:w="2541"/>
            <w:vAlign w:val="center"/>
          </w:tcPr>
          <w:p>
            <w:pPr>
              <w:spacing w:after="40"/>
            </w:pPr>
            <w:r/>
            <w:r>
              <w:rPr>
                <w:rFonts w:ascii="Aptos" w:hAnsi="Aptos"/>
                <w:b w:val="0"/>
                <w:sz w:val="15"/>
              </w:rPr>
              <w:t>NOVA</w:t>
            </w:r>
          </w:p>
        </w:tc>
        <w:tc>
          <w:tcPr>
            <w:tcW w:type="dxa" w:w="2541"/>
            <w:vAlign w:val="center"/>
          </w:tcPr>
          <w:p>
            <w:pPr>
              <w:spacing w:after="40"/>
            </w:pPr>
            <w:r/>
            <w:r>
              <w:rPr>
                <w:rFonts w:ascii="Aptos" w:hAnsi="Aptos"/>
                <w:b w:val="0"/>
                <w:sz w:val="15"/>
              </w:rPr>
              <w:t>Cloud platform / FinOps teams</w:t>
            </w:r>
          </w:p>
        </w:tc>
        <w:tc>
          <w:tcPr>
            <w:tcW w:type="dxa" w:w="2541"/>
            <w:vAlign w:val="center"/>
          </w:tcPr>
          <w:p>
            <w:pPr>
              <w:spacing w:after="40"/>
            </w:pPr>
            <w:r/>
            <w:r>
              <w:rPr>
                <w:rFonts w:ascii="Aptos" w:hAnsi="Aptos"/>
                <w:b w:val="0"/>
                <w:sz w:val="15"/>
              </w:rPr>
              <w:t>Compare constrained cloud placement scenarios</w:t>
            </w:r>
          </w:p>
        </w:tc>
        <w:tc>
          <w:tcPr>
            <w:tcW w:type="dxa" w:w="2541"/>
            <w:vAlign w:val="center"/>
          </w:tcPr>
          <w:p>
            <w:pPr>
              <w:spacing w:after="40"/>
            </w:pPr>
            <w:r/>
            <w:r>
              <w:rPr>
                <w:rFonts w:ascii="Aptos" w:hAnsi="Aptos"/>
                <w:b w:val="0"/>
                <w:sz w:val="15"/>
              </w:rPr>
              <w:t>Explicit overlap risk with Cloud MOF and existing FinOps products; validate internal differentiation before submission.</w:t>
            </w:r>
          </w:p>
        </w:tc>
      </w:tr>
      <w:tr>
        <w:tc>
          <w:tcPr>
            <w:tcW w:type="dxa" w:w="2541"/>
            <w:shd w:fill="F1F6F8"/>
            <w:vAlign w:val="center"/>
          </w:tcPr>
          <w:p>
            <w:pPr>
              <w:spacing w:after="40"/>
            </w:pPr>
            <w:r/>
            <w:r>
              <w:rPr>
                <w:rFonts w:ascii="Aptos" w:hAnsi="Aptos"/>
                <w:b w:val="0"/>
                <w:sz w:val="15"/>
              </w:rPr>
              <w:t>Project Vela</w:t>
            </w:r>
          </w:p>
        </w:tc>
        <w:tc>
          <w:tcPr>
            <w:tcW w:type="dxa" w:w="2541"/>
            <w:shd w:fill="F1F6F8"/>
            <w:vAlign w:val="center"/>
          </w:tcPr>
          <w:p>
            <w:pPr>
              <w:spacing w:after="40"/>
            </w:pPr>
            <w:r/>
            <w:r>
              <w:rPr>
                <w:rFonts w:ascii="Aptos" w:hAnsi="Aptos"/>
                <w:b w:val="0"/>
                <w:sz w:val="15"/>
              </w:rPr>
              <w:t>Solar fleet operators / O&amp;M / security teams</w:t>
            </w:r>
          </w:p>
        </w:tc>
        <w:tc>
          <w:tcPr>
            <w:tcW w:type="dxa" w:w="2541"/>
            <w:shd w:fill="F1F6F8"/>
            <w:vAlign w:val="center"/>
          </w:tcPr>
          <w:p>
            <w:pPr>
              <w:spacing w:after="40"/>
            </w:pPr>
            <w:r/>
            <w:r>
              <w:rPr>
                <w:rFonts w:ascii="Aptos" w:hAnsi="Aptos"/>
                <w:b w:val="0"/>
                <w:sz w:val="15"/>
              </w:rPr>
              <w:t>Correlate cyber indicators and energy anomalies</w:t>
            </w:r>
          </w:p>
        </w:tc>
        <w:tc>
          <w:tcPr>
            <w:tcW w:type="dxa" w:w="2541"/>
            <w:shd w:fill="F1F6F8"/>
            <w:vAlign w:val="center"/>
          </w:tcPr>
          <w:p>
            <w:pPr>
              <w:spacing w:after="40"/>
            </w:pPr>
            <w:r/>
            <w:r>
              <w:rPr>
                <w:rFonts w:ascii="Aptos" w:hAnsi="Aptos"/>
                <w:b w:val="0"/>
                <w:sz w:val="15"/>
              </w:rPr>
              <w:t>Do not attribute anomalies to attacks without evidence; potential overlap with OT security/SCADA/SIEM products; synthetic-first and human-re</w:t>
            </w:r>
          </w:p>
        </w:tc>
      </w:tr>
      <w:tr>
        <w:tc>
          <w:tcPr>
            <w:tcW w:type="dxa" w:w="2541"/>
            <w:vAlign w:val="center"/>
          </w:tcPr>
          <w:p>
            <w:pPr>
              <w:spacing w:after="40"/>
            </w:pPr>
            <w:r/>
            <w:r>
              <w:rPr>
                <w:rFonts w:ascii="Aptos" w:hAnsi="Aptos"/>
                <w:b w:val="0"/>
                <w:sz w:val="15"/>
              </w:rPr>
              <w:t>OutcomeLoop AI</w:t>
            </w:r>
          </w:p>
        </w:tc>
        <w:tc>
          <w:tcPr>
            <w:tcW w:type="dxa" w:w="2541"/>
            <w:vAlign w:val="center"/>
          </w:tcPr>
          <w:p>
            <w:pPr>
              <w:spacing w:after="40"/>
            </w:pPr>
            <w:r/>
            <w:r>
              <w:rPr>
                <w:rFonts w:ascii="Aptos" w:hAnsi="Aptos"/>
                <w:b w:val="0"/>
                <w:sz w:val="15"/>
              </w:rPr>
              <w:t>AI value owners</w:t>
            </w:r>
          </w:p>
        </w:tc>
        <w:tc>
          <w:tcPr>
            <w:tcW w:type="dxa" w:w="2541"/>
            <w:vAlign w:val="center"/>
          </w:tcPr>
          <w:p>
            <w:pPr>
              <w:spacing w:after="40"/>
            </w:pPr>
            <w:r/>
            <w:r>
              <w:rPr>
                <w:rFonts w:ascii="Aptos" w:hAnsi="Aptos"/>
                <w:b w:val="0"/>
                <w:sz w:val="15"/>
              </w:rPr>
              <w:t>Track estimated vs observed KPI outcomes</w:t>
            </w:r>
          </w:p>
        </w:tc>
        <w:tc>
          <w:tcPr>
            <w:tcW w:type="dxa" w:w="2541"/>
            <w:vAlign w:val="center"/>
          </w:tcPr>
          <w:p>
            <w:pPr>
              <w:spacing w:after="40"/>
            </w:pPr>
            <w:r/>
            <w:r>
              <w:rPr>
                <w:rFonts w:ascii="Aptos" w:hAnsi="Aptos"/>
                <w:b w:val="0"/>
                <w:sz w:val="15"/>
              </w:rPr>
              <w:t>Near-duplicate of Polaris; keep as historical naming/variant, not a separate product submission.</w:t>
            </w:r>
          </w:p>
        </w:tc>
      </w:tr>
      <w:tr>
        <w:tc>
          <w:tcPr>
            <w:tcW w:type="dxa" w:w="2541"/>
            <w:shd w:fill="F1F6F8"/>
            <w:vAlign w:val="center"/>
          </w:tcPr>
          <w:p>
            <w:pPr>
              <w:spacing w:after="40"/>
            </w:pPr>
            <w:r/>
            <w:r>
              <w:rPr>
                <w:rFonts w:ascii="Aptos" w:hAnsi="Aptos"/>
                <w:b w:val="0"/>
                <w:sz w:val="15"/>
              </w:rPr>
              <w:t>Project Helios</w:t>
            </w:r>
          </w:p>
        </w:tc>
        <w:tc>
          <w:tcPr>
            <w:tcW w:type="dxa" w:w="2541"/>
            <w:shd w:fill="F1F6F8"/>
            <w:vAlign w:val="center"/>
          </w:tcPr>
          <w:p>
            <w:pPr>
              <w:spacing w:after="40"/>
            </w:pPr>
            <w:r/>
            <w:r>
              <w:rPr>
                <w:rFonts w:ascii="Aptos" w:hAnsi="Aptos"/>
                <w:b w:val="0"/>
                <w:sz w:val="15"/>
              </w:rPr>
              <w:t>Energy managers</w:t>
            </w:r>
          </w:p>
        </w:tc>
        <w:tc>
          <w:tcPr>
            <w:tcW w:type="dxa" w:w="2541"/>
            <w:shd w:fill="F1F6F8"/>
            <w:vAlign w:val="center"/>
          </w:tcPr>
          <w:p>
            <w:pPr>
              <w:spacing w:after="40"/>
            </w:pPr>
            <w:r/>
            <w:r>
              <w:rPr>
                <w:rFonts w:ascii="Aptos" w:hAnsi="Aptos"/>
                <w:b w:val="0"/>
                <w:sz w:val="15"/>
              </w:rPr>
              <w:t>Flag unusual consumption</w:t>
            </w:r>
          </w:p>
        </w:tc>
        <w:tc>
          <w:tcPr>
            <w:tcW w:type="dxa" w:w="2541"/>
            <w:shd w:fill="F1F6F8"/>
            <w:vAlign w:val="center"/>
          </w:tcPr>
          <w:p>
            <w:pPr>
              <w:spacing w:after="40"/>
            </w:pPr>
            <w:r/>
            <w:r>
              <w:rPr>
                <w:rFonts w:ascii="Aptos" w:hAnsi="Aptos"/>
                <w:b w:val="0"/>
                <w:sz w:val="15"/>
              </w:rPr>
              <w:t>Broad concept and crowded market; not the current locked Vela scope. Do not add grid/hybrid forecasting to Vela's initial POC.</w:t>
            </w:r>
          </w:p>
        </w:tc>
      </w:tr>
      <w:tr>
        <w:tc>
          <w:tcPr>
            <w:tcW w:type="dxa" w:w="2541"/>
            <w:vAlign w:val="center"/>
          </w:tcPr>
          <w:p>
            <w:pPr>
              <w:spacing w:after="40"/>
            </w:pPr>
            <w:r/>
            <w:r>
              <w:rPr>
                <w:rFonts w:ascii="Aptos" w:hAnsi="Aptos"/>
                <w:b w:val="0"/>
                <w:sz w:val="15"/>
              </w:rPr>
              <w:t>Project Midas</w:t>
            </w:r>
          </w:p>
        </w:tc>
        <w:tc>
          <w:tcPr>
            <w:tcW w:type="dxa" w:w="2541"/>
            <w:vAlign w:val="center"/>
          </w:tcPr>
          <w:p>
            <w:pPr>
              <w:spacing w:after="40"/>
            </w:pPr>
            <w:r/>
            <w:r>
              <w:rPr>
                <w:rFonts w:ascii="Aptos" w:hAnsi="Aptos"/>
                <w:b w:val="0"/>
                <w:sz w:val="15"/>
              </w:rPr>
              <w:t>Deal / investment research teams</w:t>
            </w:r>
          </w:p>
        </w:tc>
        <w:tc>
          <w:tcPr>
            <w:tcW w:type="dxa" w:w="2541"/>
            <w:vAlign w:val="center"/>
          </w:tcPr>
          <w:p>
            <w:pPr>
              <w:spacing w:after="40"/>
            </w:pPr>
            <w:r/>
            <w:r>
              <w:rPr>
                <w:rFonts w:ascii="Aptos" w:hAnsi="Aptos"/>
                <w:b w:val="0"/>
                <w:sz w:val="15"/>
              </w:rPr>
              <w:t>Summarise synthetic deal documents</w:t>
            </w:r>
          </w:p>
        </w:tc>
        <w:tc>
          <w:tcPr>
            <w:tcW w:type="dxa" w:w="2541"/>
            <w:vAlign w:val="center"/>
          </w:tcPr>
          <w:p>
            <w:pPr>
              <w:spacing w:after="40"/>
            </w:pPr>
            <w:r/>
            <w:r>
              <w:rPr>
                <w:rFonts w:ascii="Aptos" w:hAnsi="Aptos"/>
                <w:b w:val="0"/>
                <w:sz w:val="15"/>
              </w:rPr>
              <w:t>Requires domain expertise, licensed data and validation; do not claim live market-data capability without access.</w:t>
            </w:r>
          </w:p>
        </w:tc>
      </w:tr>
      <w:tr>
        <w:tc>
          <w:tcPr>
            <w:tcW w:type="dxa" w:w="2541"/>
            <w:shd w:fill="F1F6F8"/>
            <w:vAlign w:val="center"/>
          </w:tcPr>
          <w:p>
            <w:pPr>
              <w:spacing w:after="40"/>
            </w:pPr>
            <w:r/>
            <w:r>
              <w:rPr>
                <w:rFonts w:ascii="Aptos" w:hAnsi="Aptos"/>
                <w:b w:val="0"/>
                <w:sz w:val="15"/>
              </w:rPr>
              <w:t>Project Apollo</w:t>
            </w:r>
          </w:p>
        </w:tc>
        <w:tc>
          <w:tcPr>
            <w:tcW w:type="dxa" w:w="2541"/>
            <w:shd w:fill="F1F6F8"/>
            <w:vAlign w:val="center"/>
          </w:tcPr>
          <w:p>
            <w:pPr>
              <w:spacing w:after="40"/>
            </w:pPr>
            <w:r/>
            <w:r>
              <w:rPr>
                <w:rFonts w:ascii="Aptos" w:hAnsi="Aptos"/>
                <w:b w:val="0"/>
                <w:sz w:val="15"/>
              </w:rPr>
              <w:t>Energy procurement teams</w:t>
            </w:r>
          </w:p>
        </w:tc>
        <w:tc>
          <w:tcPr>
            <w:tcW w:type="dxa" w:w="2541"/>
            <w:shd w:fill="F1F6F8"/>
            <w:vAlign w:val="center"/>
          </w:tcPr>
          <w:p>
            <w:pPr>
              <w:spacing w:after="40"/>
            </w:pPr>
            <w:r/>
            <w:r>
              <w:rPr>
                <w:rFonts w:ascii="Aptos" w:hAnsi="Aptos"/>
                <w:b w:val="0"/>
                <w:sz w:val="15"/>
              </w:rPr>
              <w:t>Compare synthetic procurement offers</w:t>
            </w:r>
          </w:p>
        </w:tc>
        <w:tc>
          <w:tcPr>
            <w:tcW w:type="dxa" w:w="2541"/>
            <w:shd w:fill="F1F6F8"/>
            <w:vAlign w:val="center"/>
          </w:tcPr>
          <w:p>
            <w:pPr>
              <w:spacing w:after="40"/>
            </w:pPr>
            <w:r/>
            <w:r>
              <w:rPr>
                <w:rFonts w:ascii="Aptos" w:hAnsi="Aptos"/>
                <w:b w:val="0"/>
                <w:sz w:val="15"/>
              </w:rPr>
              <w:t>Commercial, jurisdictional and data requirements vary; this is exploratory, not a selected concept.</w:t>
            </w:r>
          </w:p>
        </w:tc>
      </w:tr>
      <w:tr>
        <w:tc>
          <w:tcPr>
            <w:tcW w:type="dxa" w:w="2541"/>
            <w:vAlign w:val="center"/>
          </w:tcPr>
          <w:p>
            <w:pPr>
              <w:spacing w:after="40"/>
            </w:pPr>
            <w:r/>
            <w:r>
              <w:rPr>
                <w:rFonts w:ascii="Aptos" w:hAnsi="Aptos"/>
                <w:b w:val="0"/>
                <w:sz w:val="15"/>
              </w:rPr>
              <w:t>Project Prometheus</w:t>
            </w:r>
          </w:p>
        </w:tc>
        <w:tc>
          <w:tcPr>
            <w:tcW w:type="dxa" w:w="2541"/>
            <w:vAlign w:val="center"/>
          </w:tcPr>
          <w:p>
            <w:pPr>
              <w:spacing w:after="40"/>
            </w:pPr>
            <w:r/>
            <w:r>
              <w:rPr>
                <w:rFonts w:ascii="Aptos" w:hAnsi="Aptos"/>
                <w:b w:val="0"/>
                <w:sz w:val="15"/>
              </w:rPr>
              <w:t>Renewable asset operations</w:t>
            </w:r>
          </w:p>
        </w:tc>
        <w:tc>
          <w:tcPr>
            <w:tcW w:type="dxa" w:w="2541"/>
            <w:vAlign w:val="center"/>
          </w:tcPr>
          <w:p>
            <w:pPr>
              <w:spacing w:after="40"/>
            </w:pPr>
            <w:r/>
            <w:r>
              <w:rPr>
                <w:rFonts w:ascii="Aptos" w:hAnsi="Aptos"/>
                <w:b w:val="0"/>
                <w:sz w:val="15"/>
              </w:rPr>
              <w:t>Prioritise synthetic asset anomalies</w:t>
            </w:r>
          </w:p>
        </w:tc>
        <w:tc>
          <w:tcPr>
            <w:tcW w:type="dxa" w:w="2541"/>
            <w:vAlign w:val="center"/>
          </w:tcPr>
          <w:p>
            <w:pPr>
              <w:spacing w:after="40"/>
            </w:pPr>
            <w:r/>
            <w:r>
              <w:rPr>
                <w:rFonts w:ascii="Aptos" w:hAnsi="Aptos"/>
                <w:b w:val="0"/>
                <w:sz w:val="15"/>
              </w:rPr>
              <w:t>Could overlap with existing asset performance/maintenance platforms; exploratory only.</w:t>
            </w:r>
          </w:p>
        </w:tc>
      </w:tr>
    </w:tbl>
    <w:p>
      <w:r>
        <w:br w:type="page"/>
      </w:r>
    </w:p>
    <w:p>
      <w:pPr>
        <w:pStyle w:val="Heading1"/>
      </w:pPr>
      <w:r>
        <w:t>Project Atlas — AI Deal &amp; Proposal Intelligence</w:t>
      </w:r>
    </w:p>
    <w:p>
      <w:r>
        <w:rPr>
          <w:b/>
          <w:color w:val="087E8B"/>
          <w:sz w:val="24"/>
        </w:rPr>
        <w:t>From Business Opportunity to Evidence-Backed Decisions</w:t>
      </w:r>
    </w:p>
    <w:p>
      <w:r>
        <w:rPr>
          <w:b/>
        </w:rPr>
        <w:t xml:space="preserve">Status: </w:t>
      </w:r>
      <w:r>
        <w:t>Primary candidate discussed; initial MVP should be narrowed to Commercial Risk Validator.</w:t>
      </w:r>
    </w:p>
    <w:p>
      <w:r>
        <w:rPr>
          <w:b/>
        </w:rPr>
        <w:t xml:space="preserve">Category: </w:t>
      </w:r>
      <w:r>
        <w:t>Enterprise AI | Consulting Proposals | Financial &amp; Delivery Assurance</w:t>
      </w:r>
    </w:p>
    <w:p>
      <w:pPr>
        <w:pStyle w:val="Heading2"/>
      </w:pPr>
      <w:r>
        <w:t>Problem Statement</w:t>
      </w:r>
    </w:p>
    <w:p>
      <w:r>
        <w:t>High-value consulting and transformation proposals combine RFP requirements, financial models, delivery plans and supporting evidence. Manual review can miss inconsistent ROI assumptions, unsupported benefit claims, uncosted scope or unrealistic dependencies.</w:t>
      </w:r>
    </w:p>
    <w:p>
      <w:pPr>
        <w:pStyle w:val="Heading2"/>
      </w:pPr>
      <w:r>
        <w:t>Proposed Solution</w:t>
      </w:r>
    </w:p>
    <w:p>
      <w:r>
        <w:t>Atlas analyses a proposal as a connected business case: maps requirements to proposed responses, validates calculations, checks delivery assumptions and produces an evidence-linked review report for human approval.</w:t>
      </w:r>
    </w:p>
    <w:p>
      <w:pPr>
        <w:pStyle w:val="Heading2"/>
      </w:pPr>
      <w:r>
        <w:t>Core Capabilities</w:t>
      </w:r>
    </w:p>
    <w:p>
      <w:pPr>
        <w:pStyle w:val="ListBullet"/>
        <w:spacing w:after="40"/>
      </w:pPr>
      <w:r>
        <w:t>RFP and document requirement extraction with source references</w:t>
      </w:r>
    </w:p>
    <w:p>
      <w:pPr>
        <w:pStyle w:val="ListBullet"/>
        <w:spacing w:after="40"/>
      </w:pPr>
      <w:r>
        <w:t>Deterministic checks for ROI, payback, savings, costs and arithmetic consistency</w:t>
      </w:r>
    </w:p>
    <w:p>
      <w:pPr>
        <w:pStyle w:val="ListBullet"/>
        <w:spacing w:after="40"/>
      </w:pPr>
      <w:r>
        <w:t>Cross-document detection of unsupported claims, missing requirements and conflicting figures</w:t>
      </w:r>
    </w:p>
    <w:p>
      <w:pPr>
        <w:pStyle w:val="ListBullet"/>
        <w:spacing w:after="40"/>
      </w:pPr>
      <w:r>
        <w:t>Delivery feasibility checks for dependencies, milestones, staffing and scope assumptions</w:t>
      </w:r>
    </w:p>
    <w:p>
      <w:pPr>
        <w:pStyle w:val="ListBullet"/>
        <w:spacing w:after="40"/>
      </w:pPr>
      <w:r>
        <w:t>Prioritised review dashboard with evidence, rationale and recommended human checks</w:t>
      </w:r>
    </w:p>
    <w:p>
      <w:pPr>
        <w:pStyle w:val="Heading2"/>
      </w:pPr>
      <w:r>
        <w:t>POC Proposal</w:t>
      </w:r>
    </w:p>
    <w:p>
      <w:r>
        <w:t>Use a fictional transformation RFP and synthetic financial data. Seed three defects—overstated savings, a mismatched total and an impossible dependency. Show extraction, recalculation, issue detection and a review report.</w:t>
      </w:r>
    </w:p>
    <w:p>
      <w:pPr>
        <w:pStyle w:val="Heading2"/>
      </w:pPr>
      <w:r>
        <w:t>Expected Business Value</w:t>
      </w:r>
    </w:p>
    <w:p>
      <w:r>
        <w:t>Potential reduction in manual validation effort, stronger proposal consistency and earlier visibility of commercial or delivery risks. Measure against a documented baseline rather than promising savings upfront.</w:t>
      </w:r>
    </w:p>
    <w:p>
      <w:pPr>
        <w:pStyle w:val="Heading2"/>
      </w:pPr>
      <w:r>
        <w:t>Potential Revenue Model</w:t>
      </w:r>
    </w:p>
    <w:p>
      <w:r>
        <w:t>Potential annual enterprise subscription, implementation/integration fees and managed proposal-validation services. Pricing and willingness to pay require buyer validation.</w:t>
      </w:r>
    </w:p>
    <w:p>
      <w:pPr>
        <w:pStyle w:val="Heading2"/>
      </w:pPr>
      <w:r>
        <w:t>Indicative Technology Stack</w:t>
      </w:r>
    </w:p>
    <w:p>
      <w:r>
        <w:t>Python, Pandas, FastAPI, PostgreSQL or file-based storage, Streamlit; optional approved LLM/RAG for document extraction, with deterministic calculation checks.</w:t>
      </w:r>
    </w:p>
    <w:p>
      <w:pPr>
        <w:pStyle w:val="Heading2"/>
      </w:pPr>
      <w:r>
        <w:t>Risks and Validation Required</w:t>
      </w:r>
    </w:p>
    <w:p>
      <w:r>
        <w:t>Competitive proposal and document intelligence market; possible overlap with existing EXL capabilities; financial assumptions and source evidence must be traceable.</w:t>
      </w:r>
    </w:p>
    <w:p>
      <w:r>
        <w:t>All revenue, market and differentiation statements are hypotheses until validated. Confirm internal EXL overlap and relevant approvals before submission.</w:t>
      </w:r>
    </w:p>
    <w:p>
      <w:r>
        <w:br w:type="page"/>
      </w:r>
    </w:p>
    <w:p>
      <w:pPr>
        <w:pStyle w:val="Heading1"/>
      </w:pPr>
      <w:r>
        <w:t>Atlas MVP — Commercial Risk Validator</w:t>
      </w:r>
    </w:p>
    <w:p>
      <w:r>
        <w:rPr>
          <w:b/>
          <w:color w:val="087E8B"/>
          <w:sz w:val="24"/>
        </w:rPr>
        <w:t>Validate the Commitments Behind High-Value Proposals</w:t>
      </w:r>
    </w:p>
    <w:p>
      <w:r>
        <w:rPr>
          <w:b/>
        </w:rPr>
        <w:t xml:space="preserve">Status: </w:t>
      </w:r>
      <w:r>
        <w:t>Recommended narrow MVP scope within Project Atlas; not necessarily a separate product.</w:t>
      </w:r>
    </w:p>
    <w:p>
      <w:r>
        <w:rPr>
          <w:b/>
        </w:rPr>
        <w:t xml:space="preserve">Category: </w:t>
      </w:r>
      <w:r>
        <w:t>Commercial Risk | Financial Validation | Delivery Assurance</w:t>
      </w:r>
    </w:p>
    <w:p>
      <w:pPr>
        <w:pStyle w:val="Heading2"/>
      </w:pPr>
      <w:r>
        <w:t>Problem Statement</w:t>
      </w:r>
    </w:p>
    <w:p>
      <w:r>
        <w:t>A proposal may promise benefits that are not supported by its financial model, omit costs or depend on timelines/resources that are not feasible.</w:t>
      </w:r>
    </w:p>
    <w:p>
      <w:pPr>
        <w:pStyle w:val="Heading2"/>
      </w:pPr>
      <w:r>
        <w:t>Proposed Solution</w:t>
      </w:r>
    </w:p>
    <w:p>
      <w:r>
        <w:t>A focused validation layer checks the links between promised outcomes, financial assumptions, scope, staffing, milestones and dependencies, then produces a risk-focused readiness report.</w:t>
      </w:r>
    </w:p>
    <w:p>
      <w:pPr>
        <w:pStyle w:val="Heading2"/>
      </w:pPr>
      <w:r>
        <w:t>Core Capabilities</w:t>
      </w:r>
    </w:p>
    <w:p>
      <w:pPr>
        <w:pStyle w:val="ListBullet"/>
        <w:spacing w:after="40"/>
      </w:pPr>
      <w:r>
        <w:t>Check benefits against financial calculations</w:t>
      </w:r>
    </w:p>
    <w:p>
      <w:pPr>
        <w:pStyle w:val="ListBullet"/>
        <w:spacing w:after="40"/>
      </w:pPr>
      <w:r>
        <w:t>Identify missing scope items and uncosted activities</w:t>
      </w:r>
    </w:p>
    <w:p>
      <w:pPr>
        <w:pStyle w:val="ListBullet"/>
        <w:spacing w:after="40"/>
      </w:pPr>
      <w:r>
        <w:t>Validate timeline dependencies and resource assumptions</w:t>
      </w:r>
    </w:p>
    <w:p>
      <w:pPr>
        <w:pStyle w:val="ListBullet"/>
        <w:spacing w:after="40"/>
      </w:pPr>
      <w:r>
        <w:t>Trace findings to evidence and calculations</w:t>
      </w:r>
    </w:p>
    <w:p>
      <w:pPr>
        <w:pStyle w:val="ListBullet"/>
        <w:spacing w:after="40"/>
      </w:pPr>
      <w:r>
        <w:t>Produce prioritised review findings for human sign-off</w:t>
      </w:r>
    </w:p>
    <w:p>
      <w:pPr>
        <w:pStyle w:val="Heading2"/>
      </w:pPr>
      <w:r>
        <w:t>POC Proposal</w:t>
      </w:r>
    </w:p>
    <w:p>
      <w:r>
        <w:t>A single synthetic transformation proposal with three seeded defects. The demo highlights each issue, its calculation/evidence and a proposed correction.</w:t>
      </w:r>
    </w:p>
    <w:p>
      <w:pPr>
        <w:pStyle w:val="Heading2"/>
      </w:pPr>
      <w:r>
        <w:t>Expected Business Value</w:t>
      </w:r>
    </w:p>
    <w:p>
      <w:r>
        <w:t>A tightly scoped, easy-to-demonstrate workflow that could reduce review effort and prevent avoidable proposal errors.</w:t>
      </w:r>
    </w:p>
    <w:p>
      <w:pPr>
        <w:pStyle w:val="Heading2"/>
      </w:pPr>
      <w:r>
        <w:t>Potential Revenue Model</w:t>
      </w:r>
    </w:p>
    <w:p>
      <w:r>
        <w:t>Could be packaged inside Atlas or integrated into an existing proposal workflow; standalone pricing requires validation.</w:t>
      </w:r>
    </w:p>
    <w:p>
      <w:pPr>
        <w:pStyle w:val="Heading2"/>
      </w:pPr>
      <w:r>
        <w:t>Indicative Technology Stack</w:t>
      </w:r>
    </w:p>
    <w:p>
      <w:r>
        <w:t>Python, Pandas, rule-based checks, FastAPI, Streamlit, optional LLM for extraction only.</w:t>
      </w:r>
    </w:p>
    <w:p>
      <w:pPr>
        <w:pStyle w:val="Heading2"/>
      </w:pPr>
      <w:r>
        <w:t>Risks and Validation Required</w:t>
      </w:r>
    </w:p>
    <w:p>
      <w:r>
        <w:t>Subset of Atlas; keep as one MVP option unless a separate buyer and budget are established.</w:t>
      </w:r>
    </w:p>
    <w:p>
      <w:r>
        <w:t>All revenue, market and differentiation statements are hypotheses until validated. Confirm internal EXL overlap and relevant approvals before submission.</w:t>
      </w:r>
    </w:p>
    <w:p>
      <w:r>
        <w:br w:type="page"/>
      </w:r>
    </w:p>
    <w:p>
      <w:pPr>
        <w:pStyle w:val="Heading1"/>
      </w:pPr>
      <w:r>
        <w:t>Project Polaris — AI Outcome Assurance</w:t>
      </w:r>
    </w:p>
    <w:p>
      <w:r>
        <w:rPr>
          <w:b/>
          <w:color w:val="087E8B"/>
          <w:sz w:val="24"/>
        </w:rPr>
        <w:t>From AI Activity to Verified Business Value</w:t>
      </w:r>
    </w:p>
    <w:p>
      <w:r>
        <w:rPr>
          <w:b/>
        </w:rPr>
        <w:t xml:space="preserve">Status: </w:t>
      </w:r>
      <w:r>
        <w:t>Locked as a working concept by user; validation still required.</w:t>
      </w:r>
    </w:p>
    <w:p>
      <w:r>
        <w:rPr>
          <w:b/>
        </w:rPr>
        <w:t xml:space="preserve">Category: </w:t>
      </w:r>
      <w:r>
        <w:t>Enterprise AI | AI Value Realisation | Performance Intelligence</w:t>
      </w:r>
    </w:p>
    <w:p>
      <w:pPr>
        <w:pStyle w:val="Heading2"/>
      </w:pPr>
      <w:r>
        <w:t>Problem Statement</w:t>
      </w:r>
    </w:p>
    <w:p>
      <w:r>
        <w:t>Enterprises can track AI usage, quality and costs but may struggle to establish whether deployed AI initiatives improve business KPIs or deliver expected financial benefit.</w:t>
      </w:r>
    </w:p>
    <w:p>
      <w:pPr>
        <w:pStyle w:val="Heading2"/>
      </w:pPr>
      <w:r>
        <w:t>Proposed Solution</w:t>
      </w:r>
    </w:p>
    <w:p>
      <w:r>
        <w:t>Polaris links AI-enabled workflow events to agreed operational and financial measures, distinguishes estimated benefits from realised outcomes, and highlights underperforming initiatives.</w:t>
      </w:r>
    </w:p>
    <w:p>
      <w:pPr>
        <w:pStyle w:val="Heading2"/>
      </w:pPr>
      <w:r>
        <w:t>Core Capabilities</w:t>
      </w:r>
    </w:p>
    <w:p>
      <w:pPr>
        <w:pStyle w:val="ListBullet"/>
        <w:spacing w:after="40"/>
      </w:pPr>
      <w:r>
        <w:t>Define objectives, KPI baselines and measurement windows</w:t>
      </w:r>
    </w:p>
    <w:p>
      <w:pPr>
        <w:pStyle w:val="ListBullet"/>
        <w:spacing w:after="40"/>
      </w:pPr>
      <w:r>
        <w:t>Connect recommendations, human decisions and workflow outcomes</w:t>
      </w:r>
    </w:p>
    <w:p>
      <w:pPr>
        <w:pStyle w:val="ListBullet"/>
        <w:spacing w:after="40"/>
      </w:pPr>
      <w:r>
        <w:t>Compare observed results with baselines and disclose assumptions</w:t>
      </w:r>
    </w:p>
    <w:p>
      <w:pPr>
        <w:pStyle w:val="ListBullet"/>
        <w:spacing w:after="40"/>
      </w:pPr>
      <w:r>
        <w:t>Track estimated versus verified benefits with an audit trail</w:t>
      </w:r>
    </w:p>
    <w:p>
      <w:pPr>
        <w:pStyle w:val="ListBullet"/>
        <w:spacing w:after="40"/>
      </w:pPr>
      <w:r>
        <w:t>Flag deviations for investigation and review</w:t>
      </w:r>
    </w:p>
    <w:p>
      <w:pPr>
        <w:pStyle w:val="Heading2"/>
      </w:pPr>
      <w:r>
        <w:t>POC Proposal</w:t>
      </w:r>
    </w:p>
    <w:p>
      <w:r>
        <w:t>Use a synthetic customer-service or claims workflow. Compare a baseline with simulated AI-assisted handling on cycle time, error rate and cost per case. Label all simulated results clearly.</w:t>
      </w:r>
    </w:p>
    <w:p>
      <w:pPr>
        <w:pStyle w:val="Heading2"/>
      </w:pPr>
      <w:r>
        <w:t>Expected Business Value</w:t>
      </w:r>
    </w:p>
    <w:p>
      <w:r>
        <w:t>Potentially improve accountability for AI investments and help leaders decide where to scale, modify or retire AI initiatives.</w:t>
      </w:r>
    </w:p>
    <w:p>
      <w:pPr>
        <w:pStyle w:val="Heading2"/>
      </w:pPr>
      <w:r>
        <w:t>Potential Revenue Model</w:t>
      </w:r>
    </w:p>
    <w:p>
      <w:r>
        <w:t>Potential enterprise subscription, integration services and ongoing AI value-assurance services.</w:t>
      </w:r>
    </w:p>
    <w:p>
      <w:pPr>
        <w:pStyle w:val="Heading2"/>
      </w:pPr>
      <w:r>
        <w:t>Indicative Technology Stack</w:t>
      </w:r>
    </w:p>
    <w:p>
      <w:r>
        <w:t>Python, SQL, Pandas, FastAPI, Streamlit/React, KPI rules and optional LLM summaries; integrations later after approval.</w:t>
      </w:r>
    </w:p>
    <w:p>
      <w:pPr>
        <w:pStyle w:val="Heading2"/>
      </w:pPr>
      <w:r>
        <w:t>Risks and Validation Required</w:t>
      </w:r>
    </w:p>
    <w:p>
      <w:r>
        <w:t>Attribution is difficult; avoid claiming causality without appropriate study design. Check overlap with EXL AI governance and decision intelligence capabilities.</w:t>
      </w:r>
    </w:p>
    <w:p>
      <w:r>
        <w:t>All revenue, market and differentiation statements are hypotheses until validated. Confirm internal EXL overlap and relevant approvals before submission.</w:t>
      </w:r>
    </w:p>
    <w:p>
      <w:r>
        <w:br w:type="page"/>
      </w:r>
    </w:p>
    <w:p>
      <w:pPr>
        <w:pStyle w:val="Heading1"/>
      </w:pPr>
      <w:r>
        <w:t>DecisionBridge AI — Enterprise Decision Intelligence Copilot</w:t>
      </w:r>
    </w:p>
    <w:p>
      <w:r>
        <w:rPr>
          <w:b/>
          <w:color w:val="087E8B"/>
          <w:sz w:val="24"/>
        </w:rPr>
        <w:t>From Fragmented Evidence to Defensible Decisions</w:t>
      </w:r>
    </w:p>
    <w:p>
      <w:r>
        <w:rPr>
          <w:b/>
        </w:rPr>
        <w:t xml:space="preserve">Status: </w:t>
      </w:r>
      <w:r>
        <w:t>Exploratory concept.</w:t>
      </w:r>
    </w:p>
    <w:p>
      <w:r>
        <w:rPr>
          <w:b/>
        </w:rPr>
        <w:t xml:space="preserve">Category: </w:t>
      </w:r>
      <w:r>
        <w:t>Decision Intelligence | Enterprise Analytics</w:t>
      </w:r>
    </w:p>
    <w:p>
      <w:pPr>
        <w:pStyle w:val="Heading2"/>
      </w:pPr>
      <w:r>
        <w:t>Problem Statement</w:t>
      </w:r>
    </w:p>
    <w:p>
      <w:r>
        <w:t>Executives reconcile dashboards, reports and business systems before understanding why a KPI changed and which actions may be appropriate.</w:t>
      </w:r>
    </w:p>
    <w:p>
      <w:pPr>
        <w:pStyle w:val="Heading2"/>
      </w:pPr>
      <w:r>
        <w:t>Proposed Solution</w:t>
      </w:r>
    </w:p>
    <w:p>
      <w:r>
        <w:t>Turn a business question into a traceable investigation: retrieve approved evidence, analyse drivers, compare scenarios and prepare a decision brief for human review.</w:t>
      </w:r>
    </w:p>
    <w:p>
      <w:pPr>
        <w:pStyle w:val="Heading2"/>
      </w:pPr>
      <w:r>
        <w:t>Core Capabilities</w:t>
      </w:r>
    </w:p>
    <w:p>
      <w:pPr>
        <w:pStyle w:val="ListBullet"/>
        <w:spacing w:after="40"/>
      </w:pPr>
      <w:r>
        <w:t>Natural-language questions mapped to approved enterprise data</w:t>
      </w:r>
    </w:p>
    <w:p>
      <w:pPr>
        <w:pStyle w:val="ListBullet"/>
        <w:spacing w:after="40"/>
      </w:pPr>
      <w:r>
        <w:t>Evidence-linked KPI driver analysis</w:t>
      </w:r>
    </w:p>
    <w:p>
      <w:pPr>
        <w:pStyle w:val="ListBullet"/>
        <w:spacing w:after="40"/>
      </w:pPr>
      <w:r>
        <w:t>Scenario comparison with transparent assumptions</w:t>
      </w:r>
    </w:p>
    <w:p>
      <w:pPr>
        <w:pStyle w:val="ListBullet"/>
        <w:spacing w:after="40"/>
      </w:pPr>
      <w:r>
        <w:t>Separate facts, correlations, hypotheses and causal claims</w:t>
      </w:r>
    </w:p>
    <w:p>
      <w:pPr>
        <w:pStyle w:val="ListBullet"/>
        <w:spacing w:after="40"/>
      </w:pPr>
      <w:r>
        <w:t>Executive decision briefs with source traceability</w:t>
      </w:r>
    </w:p>
    <w:p>
      <w:pPr>
        <w:pStyle w:val="Heading2"/>
      </w:pPr>
      <w:r>
        <w:t>POC Proposal</w:t>
      </w:r>
    </w:p>
    <w:p>
      <w:r>
        <w:t>Synthetic retail dataset with a margin change; trace likely contributors, compare two scenarios and generate an evidence-linked brief.</w:t>
      </w:r>
    </w:p>
    <w:p>
      <w:pPr>
        <w:pStyle w:val="Heading2"/>
      </w:pPr>
      <w:r>
        <w:t>Expected Business Value</w:t>
      </w:r>
    </w:p>
    <w:p>
      <w:r>
        <w:t>Potentially reduce analysis-to-decision time and improve consistency of executive decision support.</w:t>
      </w:r>
    </w:p>
    <w:p>
      <w:pPr>
        <w:pStyle w:val="Heading2"/>
      </w:pPr>
      <w:r>
        <w:t>Potential Revenue Model</w:t>
      </w:r>
    </w:p>
    <w:p>
      <w:r>
        <w:t>Enterprise subscription, data integration and domain-specific modules.</w:t>
      </w:r>
    </w:p>
    <w:p>
      <w:pPr>
        <w:pStyle w:val="Heading2"/>
      </w:pPr>
      <w:r>
        <w:t>Indicative Technology Stack</w:t>
      </w:r>
    </w:p>
    <w:p>
      <w:r>
        <w:t>Python, SQL, approved data connectors, retrieval/search, deterministic analytics and a dashboard.</w:t>
      </w:r>
    </w:p>
    <w:p>
      <w:pPr>
        <w:pStyle w:val="Heading2"/>
      </w:pPr>
      <w:r>
        <w:t>Risks and Validation Required</w:t>
      </w:r>
    </w:p>
    <w:p>
      <w:r>
        <w:t>Crowded BI/copilot market; requires a specific workflow and clear gap versus existing tools.</w:t>
      </w:r>
    </w:p>
    <w:p>
      <w:r>
        <w:t>All revenue, market and differentiation statements are hypotheses until validated. Confirm internal EXL overlap and relevant approvals before submission.</w:t>
      </w:r>
    </w:p>
    <w:p>
      <w:r>
        <w:br w:type="page"/>
      </w:r>
    </w:p>
    <w:p>
      <w:pPr>
        <w:pStyle w:val="Heading1"/>
      </w:pPr>
      <w:r>
        <w:t>DataGuard AI — Data Change Impact Intelligence</w:t>
      </w:r>
    </w:p>
    <w:p>
      <w:r>
        <w:rPr>
          <w:b/>
          <w:color w:val="087E8B"/>
          <w:sz w:val="24"/>
        </w:rPr>
        <w:t>Know What a Data Change Could Break</w:t>
      </w:r>
    </w:p>
    <w:p>
      <w:r>
        <w:rPr>
          <w:b/>
        </w:rPr>
        <w:t xml:space="preserve">Status: </w:t>
      </w:r>
      <w:r>
        <w:t>Exploratory concept.</w:t>
      </w:r>
    </w:p>
    <w:p>
      <w:r>
        <w:rPr>
          <w:b/>
        </w:rPr>
        <w:t xml:space="preserve">Category: </w:t>
      </w:r>
      <w:r>
        <w:t>Data Platforms | Governance | Reliability</w:t>
      </w:r>
    </w:p>
    <w:p>
      <w:pPr>
        <w:pStyle w:val="Heading2"/>
      </w:pPr>
      <w:r>
        <w:t>Problem Statement</w:t>
      </w:r>
    </w:p>
    <w:p>
      <w:r>
        <w:t>Schema, definition or upstream pipeline changes can break downstream reports, models and applications; affected assets and owners may be difficult to identify quickly.</w:t>
      </w:r>
    </w:p>
    <w:p>
      <w:pPr>
        <w:pStyle w:val="Heading2"/>
      </w:pPr>
      <w:r>
        <w:t>Proposed Solution</w:t>
      </w:r>
    </w:p>
    <w:p>
      <w:r>
        <w:t>Combine lineage, data contracts and change detection to explain downstream impact, rank affected assets and recommend tests or remediation.</w:t>
      </w:r>
    </w:p>
    <w:p>
      <w:pPr>
        <w:pStyle w:val="Heading2"/>
      </w:pPr>
      <w:r>
        <w:t>Core Capabilities</w:t>
      </w:r>
    </w:p>
    <w:p>
      <w:pPr>
        <w:pStyle w:val="ListBullet"/>
        <w:spacing w:after="40"/>
      </w:pPr>
      <w:r>
        <w:t>Map source fields to pipelines, reports and models</w:t>
      </w:r>
    </w:p>
    <w:p>
      <w:pPr>
        <w:pStyle w:val="ListBullet"/>
        <w:spacing w:after="40"/>
      </w:pPr>
      <w:r>
        <w:t>Detect schema and semantic changes against contracts</w:t>
      </w:r>
    </w:p>
    <w:p>
      <w:pPr>
        <w:pStyle w:val="ListBullet"/>
        <w:spacing w:after="40"/>
      </w:pPr>
      <w:r>
        <w:t>Rank affected assets by criticality</w:t>
      </w:r>
    </w:p>
    <w:p>
      <w:pPr>
        <w:pStyle w:val="ListBullet"/>
        <w:spacing w:after="40"/>
      </w:pPr>
      <w:r>
        <w:t>Recommend regression tests and route issues</w:t>
      </w:r>
    </w:p>
    <w:p>
      <w:pPr>
        <w:pStyle w:val="ListBullet"/>
        <w:spacing w:after="40"/>
      </w:pPr>
      <w:r>
        <w:t>Maintain evidence of change and resolution</w:t>
      </w:r>
    </w:p>
    <w:p>
      <w:pPr>
        <w:pStyle w:val="Heading2"/>
      </w:pPr>
      <w:r>
        <w:t>POC Proposal</w:t>
      </w:r>
    </w:p>
    <w:p>
      <w:r>
        <w:t>Synthetic pipeline with dependent tables, dashboards and a model; change a source field and show impacted assets and suggested tests.</w:t>
      </w:r>
    </w:p>
    <w:p>
      <w:pPr>
        <w:pStyle w:val="Heading2"/>
      </w:pPr>
      <w:r>
        <w:t>Expected Business Value</w:t>
      </w:r>
    </w:p>
    <w:p>
      <w:r>
        <w:t>Potentially reduce incident diagnosis time and downstream breakages.</w:t>
      </w:r>
    </w:p>
    <w:p>
      <w:pPr>
        <w:pStyle w:val="Heading2"/>
      </w:pPr>
      <w:r>
        <w:t>Potential Revenue Model</w:t>
      </w:r>
    </w:p>
    <w:p>
      <w:r>
        <w:t>Annual subscription, integration and managed data reliability services.</w:t>
      </w:r>
    </w:p>
    <w:p>
      <w:pPr>
        <w:pStyle w:val="Heading2"/>
      </w:pPr>
      <w:r>
        <w:t>Indicative Technology Stack</w:t>
      </w:r>
    </w:p>
    <w:p>
      <w:r>
        <w:t>Python, SQL, metadata/lineage graph, FastAPI and a dashboard.</w:t>
      </w:r>
    </w:p>
    <w:p>
      <w:pPr>
        <w:pStyle w:val="Heading2"/>
      </w:pPr>
      <w:r>
        <w:t>Risks and Validation Required</w:t>
      </w:r>
    </w:p>
    <w:p>
      <w:r>
        <w:t>Overlap with metadata catalogs, observability tools and internal Meta Workbench-type initiatives.</w:t>
      </w:r>
    </w:p>
    <w:p>
      <w:r>
        <w:t>All revenue, market and differentiation statements are hypotheses until validated. Confirm internal EXL overlap and relevant approvals before submission.</w:t>
      </w:r>
    </w:p>
    <w:p>
      <w:r>
        <w:br w:type="page"/>
      </w:r>
    </w:p>
    <w:p>
      <w:pPr>
        <w:pStyle w:val="Heading1"/>
      </w:pPr>
      <w:r>
        <w:t>AI Release Assurance — Agent Testing &amp; Release Validation</w:t>
      </w:r>
    </w:p>
    <w:p>
      <w:r>
        <w:rPr>
          <w:b/>
          <w:color w:val="087E8B"/>
          <w:sz w:val="24"/>
        </w:rPr>
        <w:t>Catch AI Regressions Before They Reach Production</w:t>
      </w:r>
    </w:p>
    <w:p>
      <w:r>
        <w:rPr>
          <w:b/>
        </w:rPr>
        <w:t xml:space="preserve">Status: </w:t>
      </w:r>
      <w:r>
        <w:t>Exploratory; explicitly check overlap with LLM Control Hub.</w:t>
      </w:r>
    </w:p>
    <w:p>
      <w:r>
        <w:rPr>
          <w:b/>
        </w:rPr>
        <w:t xml:space="preserve">Category: </w:t>
      </w:r>
      <w:r>
        <w:t>AI Engineering | LLMOps | Responsible AI</w:t>
      </w:r>
    </w:p>
    <w:p>
      <w:pPr>
        <w:pStyle w:val="Heading2"/>
      </w:pPr>
      <w:r>
        <w:t>Problem Statement</w:t>
      </w:r>
    </w:p>
    <w:p>
      <w:r>
        <w:t>Prompt, model, tool or configuration changes can degrade accuracy, safety, policy compliance or cost performance; manual regression testing can be inconsistent.</w:t>
      </w:r>
    </w:p>
    <w:p>
      <w:pPr>
        <w:pStyle w:val="Heading2"/>
      </w:pPr>
      <w:r>
        <w:t>Proposed Solution</w:t>
      </w:r>
    </w:p>
    <w:p>
      <w:r>
        <w:t>Run repeatable evaluation suites against candidate versions, compare with an approved baseline and produce evidence for a human release decision.</w:t>
      </w:r>
    </w:p>
    <w:p>
      <w:pPr>
        <w:pStyle w:val="Heading2"/>
      </w:pPr>
      <w:r>
        <w:t>Core Capabilities</w:t>
      </w:r>
    </w:p>
    <w:p>
      <w:pPr>
        <w:pStyle w:val="ListBullet"/>
        <w:spacing w:after="40"/>
      </w:pPr>
      <w:r>
        <w:t>Versioned test cases and evaluation datasets</w:t>
      </w:r>
    </w:p>
    <w:p>
      <w:pPr>
        <w:pStyle w:val="ListBullet"/>
        <w:spacing w:after="40"/>
      </w:pPr>
      <w:r>
        <w:t>Regression testing across prompt/model versions</w:t>
      </w:r>
    </w:p>
    <w:p>
      <w:pPr>
        <w:pStyle w:val="ListBullet"/>
        <w:spacing w:after="40"/>
      </w:pPr>
      <w:r>
        <w:t>Policy adherence and sensitive-data test cases</w:t>
      </w:r>
    </w:p>
    <w:p>
      <w:pPr>
        <w:pStyle w:val="ListBullet"/>
        <w:spacing w:after="40"/>
      </w:pPr>
      <w:r>
        <w:t>Compare quality, latency and cost where available</w:t>
      </w:r>
    </w:p>
    <w:p>
      <w:pPr>
        <w:pStyle w:val="ListBullet"/>
        <w:spacing w:after="40"/>
      </w:pPr>
      <w:r>
        <w:t>Release report with failures, severity and approval history</w:t>
      </w:r>
    </w:p>
    <w:p>
      <w:pPr>
        <w:pStyle w:val="Heading2"/>
      </w:pPr>
      <w:r>
        <w:t>POC Proposal</w:t>
      </w:r>
    </w:p>
    <w:p>
      <w:r>
        <w:t>A simulated assistant with known regressions between versions; run synthetic tests and show detection and false positives.</w:t>
      </w:r>
    </w:p>
    <w:p>
      <w:pPr>
        <w:pStyle w:val="Heading2"/>
      </w:pPr>
      <w:r>
        <w:t>Expected Business Value</w:t>
      </w:r>
    </w:p>
    <w:p>
      <w:r>
        <w:t>Potentially reduce manual testing and catch failures before release.</w:t>
      </w:r>
    </w:p>
    <w:p>
      <w:pPr>
        <w:pStyle w:val="Heading2"/>
      </w:pPr>
      <w:r>
        <w:t>Potential Revenue Model</w:t>
      </w:r>
    </w:p>
    <w:p>
      <w:r>
        <w:t>Subscription, implementation and managed AI evaluation services.</w:t>
      </w:r>
    </w:p>
    <w:p>
      <w:pPr>
        <w:pStyle w:val="Heading2"/>
      </w:pPr>
      <w:r>
        <w:t>Indicative Technology Stack</w:t>
      </w:r>
    </w:p>
    <w:p>
      <w:r>
        <w:t>Python, pytest, evaluation harness, FastAPI, simple dashboard and approved model endpoints if available.</w:t>
      </w:r>
    </w:p>
    <w:p>
      <w:pPr>
        <w:pStyle w:val="Heading2"/>
      </w:pPr>
      <w:r>
        <w:t>Risks and Validation Required</w:t>
      </w:r>
    </w:p>
    <w:p>
      <w:r>
        <w:t>Strong overlap risk with LLM Control Hub and commercial evaluation platforms; needs a distinct capability gap.</w:t>
      </w:r>
    </w:p>
    <w:p>
      <w:r>
        <w:t>All revenue, market and differentiation statements are hypotheses until validated. Confirm internal EXL overlap and relevant approvals before submission.</w:t>
      </w:r>
    </w:p>
    <w:p>
      <w:r>
        <w:br w:type="page"/>
      </w:r>
    </w:p>
    <w:p>
      <w:pPr>
        <w:pStyle w:val="Heading1"/>
      </w:pPr>
      <w:r>
        <w:t>RevenueGuard AI — Revenue Leakage Intelligence</w:t>
      </w:r>
    </w:p>
    <w:p>
      <w:r>
        <w:rPr>
          <w:b/>
          <w:color w:val="087E8B"/>
          <w:sz w:val="24"/>
        </w:rPr>
        <w:t>Find, Validate and Track Recoverable Value</w:t>
      </w:r>
    </w:p>
    <w:p>
      <w:r>
        <w:rPr>
          <w:b/>
        </w:rPr>
        <w:t xml:space="preserve">Status: </w:t>
      </w:r>
      <w:r>
        <w:t>Exploratory concept; check overlap with existing EXL offerings.</w:t>
      </w:r>
    </w:p>
    <w:p>
      <w:r>
        <w:rPr>
          <w:b/>
        </w:rPr>
        <w:t xml:space="preserve">Category: </w:t>
      </w:r>
      <w:r>
        <w:t>Financial Operations | Reconciliation | AI-Assisted Investigation</w:t>
      </w:r>
    </w:p>
    <w:p>
      <w:pPr>
        <w:pStyle w:val="Heading2"/>
      </w:pPr>
      <w:r>
        <w:t>Problem Statement</w:t>
      </w:r>
    </w:p>
    <w:p>
      <w:r>
        <w:t>Missed contract terms, invoice discrepancies, duplicate charges and inconsistent transaction processing can cause revenue leakage or overpayment.</w:t>
      </w:r>
    </w:p>
    <w:p>
      <w:pPr>
        <w:pStyle w:val="Heading2"/>
      </w:pPr>
      <w:r>
        <w:t>Proposed Solution</w:t>
      </w:r>
    </w:p>
    <w:p>
      <w:r>
        <w:t>Identify candidate discrepancies across contracts, invoices and transactions, trace evidence, estimate potential value and route cases for authorised review.</w:t>
      </w:r>
    </w:p>
    <w:p>
      <w:pPr>
        <w:pStyle w:val="Heading2"/>
      </w:pPr>
      <w:r>
        <w:t>Core Capabilities</w:t>
      </w:r>
    </w:p>
    <w:p>
      <w:pPr>
        <w:pStyle w:val="ListBullet"/>
        <w:spacing w:after="40"/>
      </w:pPr>
      <w:r>
        <w:t>Reconcile invoices, contracts, transactions and rules</w:t>
      </w:r>
    </w:p>
    <w:p>
      <w:pPr>
        <w:pStyle w:val="ListBullet"/>
        <w:spacing w:after="40"/>
      </w:pPr>
      <w:r>
        <w:t>Detect anomalies and prioritise candidate cases</w:t>
      </w:r>
    </w:p>
    <w:p>
      <w:pPr>
        <w:pStyle w:val="ListBullet"/>
        <w:spacing w:after="40"/>
      </w:pPr>
      <w:r>
        <w:t>Show evidence and calculations</w:t>
      </w:r>
    </w:p>
    <w:p>
      <w:pPr>
        <w:pStyle w:val="ListBullet"/>
        <w:spacing w:after="40"/>
      </w:pPr>
      <w:r>
        <w:t>Route cases for human validation</w:t>
      </w:r>
    </w:p>
    <w:p>
      <w:pPr>
        <w:pStyle w:val="ListBullet"/>
        <w:spacing w:after="40"/>
      </w:pPr>
      <w:r>
        <w:t>Track confirmed recovery separately from flagged estimates</w:t>
      </w:r>
    </w:p>
    <w:p>
      <w:pPr>
        <w:pStyle w:val="Heading2"/>
      </w:pPr>
      <w:r>
        <w:t>POC Proposal</w:t>
      </w:r>
    </w:p>
    <w:p>
      <w:r>
        <w:t>Synthetic contracts, invoices and transactions with seeded mismatches; identify discrepancies and show the evidence trail.</w:t>
      </w:r>
    </w:p>
    <w:p>
      <w:pPr>
        <w:pStyle w:val="Heading2"/>
      </w:pPr>
      <w:r>
        <w:t>Expected Business Value</w:t>
      </w:r>
    </w:p>
    <w:p>
      <w:r>
        <w:t>Potentially improve recovery identification and reduce manual reconciliation.</w:t>
      </w:r>
    </w:p>
    <w:p>
      <w:pPr>
        <w:pStyle w:val="Heading2"/>
      </w:pPr>
      <w:r>
        <w:t>Potential Revenue Model</w:t>
      </w:r>
    </w:p>
    <w:p>
      <w:r>
        <w:t>Subscription, implementation and optional managed analytics/recovery services.</w:t>
      </w:r>
    </w:p>
    <w:p>
      <w:pPr>
        <w:pStyle w:val="Heading2"/>
      </w:pPr>
      <w:r>
        <w:t>Indicative Technology Stack</w:t>
      </w:r>
    </w:p>
    <w:p>
      <w:r>
        <w:t>Python, SQL, document extraction, deterministic reconciliation and case-management dashboard.</w:t>
      </w:r>
    </w:p>
    <w:p>
      <w:pPr>
        <w:pStyle w:val="Heading2"/>
      </w:pPr>
      <w:r>
        <w:t>Risks and Validation Required</w:t>
      </w:r>
    </w:p>
    <w:p>
      <w:r>
        <w:t>Possible overlap with payment integrity and financial operations products; only confirmed recovered value counts as realised benefit.</w:t>
      </w:r>
    </w:p>
    <w:p>
      <w:r>
        <w:t>All revenue, market and differentiation statements are hypotheses until validated. Confirm internal EXL overlap and relevant approvals before submission.</w:t>
      </w:r>
    </w:p>
    <w:p>
      <w:r>
        <w:br w:type="page"/>
      </w:r>
    </w:p>
    <w:p>
      <w:pPr>
        <w:pStyle w:val="Heading1"/>
      </w:pPr>
      <w:r>
        <w:t>ProcessPilot AI — Business Process Optimization Engine</w:t>
      </w:r>
    </w:p>
    <w:p>
      <w:r>
        <w:rPr>
          <w:b/>
          <w:color w:val="087E8B"/>
          <w:sz w:val="24"/>
        </w:rPr>
        <w:t>Turn Operational Bottlenecks into Measurable Improvement</w:t>
      </w:r>
    </w:p>
    <w:p>
      <w:r>
        <w:rPr>
          <w:b/>
        </w:rPr>
        <w:t xml:space="preserve">Status: </w:t>
      </w:r>
      <w:r>
        <w:t>Exploratory concept.</w:t>
      </w:r>
    </w:p>
    <w:p>
      <w:r>
        <w:rPr>
          <w:b/>
        </w:rPr>
        <w:t xml:space="preserve">Category: </w:t>
      </w:r>
      <w:r>
        <w:t>Process Intelligence | Operations Analytics</w:t>
      </w:r>
    </w:p>
    <w:p>
      <w:pPr>
        <w:pStyle w:val="Heading2"/>
      </w:pPr>
      <w:r>
        <w:t>Problem Statement</w:t>
      </w:r>
    </w:p>
    <w:p>
      <w:r>
        <w:t>Operational data may exist, but teams may not quickly identify delays, repeated work, escalation loops and which interventions could improve performance.</w:t>
      </w:r>
    </w:p>
    <w:p>
      <w:pPr>
        <w:pStyle w:val="Heading2"/>
      </w:pPr>
      <w:r>
        <w:t>Proposed Solution</w:t>
      </w:r>
    </w:p>
    <w:p>
      <w:r>
        <w:t>Analyse process-event data, identify bottlenecks and rework, compare scenarios and track approved interventions against a baseline.</w:t>
      </w:r>
    </w:p>
    <w:p>
      <w:pPr>
        <w:pStyle w:val="Heading2"/>
      </w:pPr>
      <w:r>
        <w:t>Core Capabilities</w:t>
      </w:r>
    </w:p>
    <w:p>
      <w:pPr>
        <w:pStyle w:val="ListBullet"/>
        <w:spacing w:after="40"/>
      </w:pPr>
      <w:r>
        <w:t>Reconstruct process flows from timestamped events</w:t>
      </w:r>
    </w:p>
    <w:p>
      <w:pPr>
        <w:pStyle w:val="ListBullet"/>
        <w:spacing w:after="40"/>
      </w:pPr>
      <w:r>
        <w:t>Identify delays, rework loops and handoff friction</w:t>
      </w:r>
    </w:p>
    <w:p>
      <w:pPr>
        <w:pStyle w:val="ListBullet"/>
        <w:spacing w:after="40"/>
      </w:pPr>
      <w:r>
        <w:t>Estimate cost/service impact with transparent assumptions</w:t>
      </w:r>
    </w:p>
    <w:p>
      <w:pPr>
        <w:pStyle w:val="ListBullet"/>
        <w:spacing w:after="40"/>
      </w:pPr>
      <w:r>
        <w:t>Compare improvement scenarios</w:t>
      </w:r>
    </w:p>
    <w:p>
      <w:pPr>
        <w:pStyle w:val="ListBullet"/>
        <w:spacing w:after="40"/>
      </w:pPr>
      <w:r>
        <w:t>Track before-and-after performance</w:t>
      </w:r>
    </w:p>
    <w:p>
      <w:pPr>
        <w:pStyle w:val="Heading2"/>
      </w:pPr>
      <w:r>
        <w:t>POC Proposal</w:t>
      </w:r>
    </w:p>
    <w:p>
      <w:r>
        <w:t>Synthetic order or service workflow event log; identify a bottleneck and compare baseline with simulated improvement.</w:t>
      </w:r>
    </w:p>
    <w:p>
      <w:pPr>
        <w:pStyle w:val="Heading2"/>
      </w:pPr>
      <w:r>
        <w:t>Expected Business Value</w:t>
      </w:r>
    </w:p>
    <w:p>
      <w:r>
        <w:t>Potential reduction in cycle time, rework and operating cost.</w:t>
      </w:r>
    </w:p>
    <w:p>
      <w:pPr>
        <w:pStyle w:val="Heading2"/>
      </w:pPr>
      <w:r>
        <w:t>Potential Revenue Model</w:t>
      </w:r>
    </w:p>
    <w:p>
      <w:r>
        <w:t>Enterprise subscription, process discovery and ongoing optimization services.</w:t>
      </w:r>
    </w:p>
    <w:p>
      <w:pPr>
        <w:pStyle w:val="Heading2"/>
      </w:pPr>
      <w:r>
        <w:t>Indicative Technology Stack</w:t>
      </w:r>
    </w:p>
    <w:p>
      <w:r>
        <w:t>Python, Pandas, process-mining methods, SQL and dashboard.</w:t>
      </w:r>
    </w:p>
    <w:p>
      <w:pPr>
        <w:pStyle w:val="Heading2"/>
      </w:pPr>
      <w:r>
        <w:t>Risks and Validation Required</w:t>
      </w:r>
    </w:p>
    <w:p>
      <w:r>
        <w:t>Competitive process-mining market; simulations alone do not prove causal impact.</w:t>
      </w:r>
    </w:p>
    <w:p>
      <w:r>
        <w:t>All revenue, market and differentiation statements are hypotheses until validated. Confirm internal EXL overlap and relevant approvals before submission.</w:t>
      </w:r>
    </w:p>
    <w:p>
      <w:r>
        <w:br w:type="page"/>
      </w:r>
    </w:p>
    <w:p>
      <w:pPr>
        <w:pStyle w:val="Heading1"/>
      </w:pPr>
      <w:r>
        <w:t>DataBridge AI — AI Data Readiness &amp; Remediation</w:t>
      </w:r>
    </w:p>
    <w:p>
      <w:r>
        <w:rPr>
          <w:b/>
          <w:color w:val="087E8B"/>
          <w:sz w:val="24"/>
        </w:rPr>
        <w:t>Resolve the Data Issues Blocking AI Delivery</w:t>
      </w:r>
    </w:p>
    <w:p>
      <w:r>
        <w:rPr>
          <w:b/>
        </w:rPr>
        <w:t xml:space="preserve">Status: </w:t>
      </w:r>
      <w:r>
        <w:t>Exploratory concept.</w:t>
      </w:r>
    </w:p>
    <w:p>
      <w:r>
        <w:rPr>
          <w:b/>
        </w:rPr>
        <w:t xml:space="preserve">Category: </w:t>
      </w:r>
      <w:r>
        <w:t>Data Engineering | AI Readiness</w:t>
      </w:r>
    </w:p>
    <w:p>
      <w:pPr>
        <w:pStyle w:val="Heading2"/>
      </w:pPr>
      <w:r>
        <w:t>Problem Statement</w:t>
      </w:r>
    </w:p>
    <w:p>
      <w:r>
        <w:t>Missing fields, inconsistent identifiers and poor-quality source data can delay AI initiatives; generic quality scores may not explain which defects block a use case.</w:t>
      </w:r>
    </w:p>
    <w:p>
      <w:pPr>
        <w:pStyle w:val="Heading2"/>
      </w:pPr>
      <w:r>
        <w:t>Proposed Solution</w:t>
      </w:r>
    </w:p>
    <w:p>
      <w:r>
        <w:t>Assess data against the needs of a selected AI use case, prioritise defects by their impact, recommend remediation and measure readiness after fixes.</w:t>
      </w:r>
    </w:p>
    <w:p>
      <w:pPr>
        <w:pStyle w:val="Heading2"/>
      </w:pPr>
      <w:r>
        <w:t>Core Capabilities</w:t>
      </w:r>
    </w:p>
    <w:p>
      <w:pPr>
        <w:pStyle w:val="ListBullet"/>
        <w:spacing w:after="40"/>
      </w:pPr>
      <w:r>
        <w:t>Map use-case requirements to required attributes</w:t>
      </w:r>
    </w:p>
    <w:p>
      <w:pPr>
        <w:pStyle w:val="ListBullet"/>
        <w:spacing w:after="40"/>
      </w:pPr>
      <w:r>
        <w:t>Profile completeness, consistency, validity and duplication</w:t>
      </w:r>
    </w:p>
    <w:p>
      <w:pPr>
        <w:pStyle w:val="ListBullet"/>
        <w:spacing w:after="40"/>
      </w:pPr>
      <w:r>
        <w:t>Rank defects by impact on the target workflow</w:t>
      </w:r>
    </w:p>
    <w:p>
      <w:pPr>
        <w:pStyle w:val="ListBullet"/>
        <w:spacing w:after="40"/>
      </w:pPr>
      <w:r>
        <w:t>Recommend approved remediation with audit trails</w:t>
      </w:r>
    </w:p>
    <w:p>
      <w:pPr>
        <w:pStyle w:val="ListBullet"/>
        <w:spacing w:after="40"/>
      </w:pPr>
      <w:r>
        <w:t>Generate use-case-specific readiness score</w:t>
      </w:r>
    </w:p>
    <w:p>
      <w:pPr>
        <w:pStyle w:val="Heading2"/>
      </w:pPr>
      <w:r>
        <w:t>POC Proposal</w:t>
      </w:r>
    </w:p>
    <w:p>
      <w:r>
        <w:t>Synthetic dataset with deliberate defects; map requirements, prioritise issues and show readiness before and after approved fixes.</w:t>
      </w:r>
    </w:p>
    <w:p>
      <w:pPr>
        <w:pStyle w:val="Heading2"/>
      </w:pPr>
      <w:r>
        <w:t>Expected Business Value</w:t>
      </w:r>
    </w:p>
    <w:p>
      <w:r>
        <w:t>Potentially reduce manual remediation and accelerate AI preparation.</w:t>
      </w:r>
    </w:p>
    <w:p>
      <w:pPr>
        <w:pStyle w:val="Heading2"/>
      </w:pPr>
      <w:r>
        <w:t>Potential Revenue Model</w:t>
      </w:r>
    </w:p>
    <w:p>
      <w:r>
        <w:t>Subscription, integration and data engineering services.</w:t>
      </w:r>
    </w:p>
    <w:p>
      <w:pPr>
        <w:pStyle w:val="Heading2"/>
      </w:pPr>
      <w:r>
        <w:t>Indicative Technology Stack</w:t>
      </w:r>
    </w:p>
    <w:p>
      <w:r>
        <w:t>Python, Pandas, Great Expectations or equivalent checks, SQL and dashboard.</w:t>
      </w:r>
    </w:p>
    <w:p>
      <w:pPr>
        <w:pStyle w:val="Heading2"/>
      </w:pPr>
      <w:r>
        <w:t>Risks and Validation Required</w:t>
      </w:r>
    </w:p>
    <w:p>
      <w:r>
        <w:t>Overlap with data services, metadata tools and DataGuard; keep boundaries distinct.</w:t>
      </w:r>
    </w:p>
    <w:p>
      <w:r>
        <w:t>All revenue, market and differentiation statements are hypotheses until validated. Confirm internal EXL overlap and relevant approvals before submission.</w:t>
      </w:r>
    </w:p>
    <w:p>
      <w:r>
        <w:br w:type="page"/>
      </w:r>
    </w:p>
    <w:p>
      <w:pPr>
        <w:pStyle w:val="Heading1"/>
      </w:pPr>
      <w:r>
        <w:t>NOVA — Multi-Cloud Workload Value Optimizer</w:t>
      </w:r>
    </w:p>
    <w:p>
      <w:r>
        <w:rPr>
          <w:b/>
          <w:color w:val="087E8B"/>
          <w:sz w:val="24"/>
        </w:rPr>
        <w:t>Optimize Workload Placement for Cost, Performance and Business Goals</w:t>
      </w:r>
    </w:p>
    <w:p>
      <w:r>
        <w:rPr>
          <w:b/>
        </w:rPr>
        <w:t xml:space="preserve">Status: </w:t>
      </w:r>
      <w:r>
        <w:t>Drafted as a candidate; user noted existing Cloud MOF may overlap.</w:t>
      </w:r>
    </w:p>
    <w:p>
      <w:r>
        <w:rPr>
          <w:b/>
        </w:rPr>
        <w:t xml:space="preserve">Category: </w:t>
      </w:r>
      <w:r>
        <w:t>Cloud FinOps | Enterprise Platforms</w:t>
      </w:r>
    </w:p>
    <w:p>
      <w:pPr>
        <w:pStyle w:val="Heading2"/>
      </w:pPr>
      <w:r>
        <w:t>Problem Statement</w:t>
      </w:r>
    </w:p>
    <w:p>
      <w:r>
        <w:t>Multi-cloud enterprises can have fragmented cost visibility and limited linkage between infrastructure decisions and business-service requirements. The cheapest option may not meet latency, resilience or compliance needs.</w:t>
      </w:r>
    </w:p>
    <w:p>
      <w:pPr>
        <w:pStyle w:val="Heading2"/>
      </w:pPr>
      <w:r>
        <w:t>Proposed Solution</w:t>
      </w:r>
    </w:p>
    <w:p>
      <w:r>
        <w:t>Normalize workload and cost data, map workloads to business constraints and compare feasible placement/optimization scenarios with transparent trade-offs.</w:t>
      </w:r>
    </w:p>
    <w:p>
      <w:pPr>
        <w:pStyle w:val="Heading2"/>
      </w:pPr>
      <w:r>
        <w:t>Core Capabilities</w:t>
      </w:r>
    </w:p>
    <w:p>
      <w:pPr>
        <w:pStyle w:val="ListBullet"/>
        <w:spacing w:after="40"/>
      </w:pPr>
      <w:r>
        <w:t>Unified workload and cost view</w:t>
      </w:r>
    </w:p>
    <w:p>
      <w:pPr>
        <w:pStyle w:val="ListBullet"/>
        <w:spacing w:after="40"/>
      </w:pPr>
      <w:r>
        <w:t>Map workloads to service criticality and constraints</w:t>
      </w:r>
    </w:p>
    <w:p>
      <w:pPr>
        <w:pStyle w:val="ListBullet"/>
        <w:spacing w:after="40"/>
      </w:pPr>
      <w:r>
        <w:t>Compare cost, performance, resilience and compliance</w:t>
      </w:r>
    </w:p>
    <w:p>
      <w:pPr>
        <w:pStyle w:val="ListBullet"/>
        <w:spacing w:after="40"/>
      </w:pPr>
      <w:r>
        <w:t>Recommend rightsizing, scheduling or placement options</w:t>
      </w:r>
    </w:p>
    <w:p>
      <w:pPr>
        <w:pStyle w:val="ListBullet"/>
        <w:spacing w:after="40"/>
      </w:pPr>
      <w:r>
        <w:t>Track approved changes against baseline</w:t>
      </w:r>
    </w:p>
    <w:p>
      <w:pPr>
        <w:pStyle w:val="Heading2"/>
      </w:pPr>
      <w:r>
        <w:t>POC Proposal</w:t>
      </w:r>
    </w:p>
    <w:p>
      <w:r>
        <w:t>Synthetic multi-cloud billing and workload data; compare candidate placements, reject constraint-violating options and display an explainable recommendation.</w:t>
      </w:r>
    </w:p>
    <w:p>
      <w:pPr>
        <w:pStyle w:val="Heading2"/>
      </w:pPr>
      <w:r>
        <w:t>Expected Business Value</w:t>
      </w:r>
    </w:p>
    <w:p>
      <w:r>
        <w:t>Potentially improve cost visibility and help teams find optimization opportunities without ignoring service requirements.</w:t>
      </w:r>
    </w:p>
    <w:p>
      <w:pPr>
        <w:pStyle w:val="Heading2"/>
      </w:pPr>
      <w:r>
        <w:t>Potential Revenue Model</w:t>
      </w:r>
    </w:p>
    <w:p>
      <w:r>
        <w:t>Enterprise subscription, cloud-data integration and managed optimization services.</w:t>
      </w:r>
    </w:p>
    <w:p>
      <w:pPr>
        <w:pStyle w:val="Heading2"/>
      </w:pPr>
      <w:r>
        <w:t>Indicative Technology Stack</w:t>
      </w:r>
    </w:p>
    <w:p>
      <w:r>
        <w:t>Python, Pandas, cloud billing exports, scenario engine, FastAPI and dashboard.</w:t>
      </w:r>
    </w:p>
    <w:p>
      <w:pPr>
        <w:pStyle w:val="Heading2"/>
      </w:pPr>
      <w:r>
        <w:t>Risks and Validation Required</w:t>
      </w:r>
    </w:p>
    <w:p>
      <w:r>
        <w:t>Explicit overlap risk with Cloud MOF and existing FinOps products; validate internal differentiation before submission.</w:t>
      </w:r>
    </w:p>
    <w:p>
      <w:r>
        <w:t>All revenue, market and differentiation statements are hypotheses until validated. Confirm internal EXL overlap and relevant approvals before submission.</w:t>
      </w:r>
    </w:p>
    <w:p>
      <w:r>
        <w:br w:type="page"/>
      </w:r>
    </w:p>
    <w:p>
      <w:pPr>
        <w:pStyle w:val="Heading1"/>
      </w:pPr>
      <w:r>
        <w:t>Project Vela — Renewable-Energy Cyber Risk &amp; Energy-Loss Intelligence</w:t>
      </w:r>
    </w:p>
    <w:p>
      <w:r>
        <w:rPr>
          <w:b/>
          <w:color w:val="087E8B"/>
          <w:sz w:val="24"/>
        </w:rPr>
        <w:t>See the Risk. Understand the Impact. Prioritise the Response.</w:t>
      </w:r>
    </w:p>
    <w:p>
      <w:r>
        <w:rPr>
          <w:b/>
        </w:rPr>
        <w:t xml:space="preserve">Status: </w:t>
      </w:r>
      <w:r>
        <w:t>Current solar-first, software-only concept; working name Vela.</w:t>
      </w:r>
    </w:p>
    <w:p>
      <w:r>
        <w:rPr>
          <w:b/>
        </w:rPr>
        <w:t xml:space="preserve">Category: </w:t>
      </w:r>
      <w:r>
        <w:t>Renewable Energy | Cyber Risk | Operational Intelligence</w:t>
      </w:r>
    </w:p>
    <w:p>
      <w:pPr>
        <w:pStyle w:val="Heading2"/>
      </w:pPr>
      <w:r>
        <w:t>Problem Statement</w:t>
      </w:r>
    </w:p>
    <w:p>
      <w:r>
        <w:t>Renewable operators may need to investigate asset vulnerabilities, security indicators and generation anomalies across disconnected datasets. A generation drop alone does not prove a cyberattack, and security findings may lack operational context.</w:t>
      </w:r>
    </w:p>
    <w:p>
      <w:pPr>
        <w:pStyle w:val="Heading2"/>
      </w:pPr>
      <w:r>
        <w:t>Proposed Solution</w:t>
      </w:r>
    </w:p>
    <w:p>
      <w:r>
        <w:t>Correlate asset inventory, cyber indicators and generation data to surface explainable risk cases, estimate potential energy impact and help teams prioritise human investigation.</w:t>
      </w:r>
    </w:p>
    <w:p>
      <w:pPr>
        <w:pStyle w:val="Heading2"/>
      </w:pPr>
      <w:r>
        <w:t>Core Capabilities</w:t>
      </w:r>
    </w:p>
    <w:p>
      <w:pPr>
        <w:pStyle w:val="ListBullet"/>
        <w:spacing w:after="40"/>
      </w:pPr>
      <w:r>
        <w:t>Solar asset inventory and dependency mapping</w:t>
      </w:r>
    </w:p>
    <w:p>
      <w:pPr>
        <w:pStyle w:val="ListBullet"/>
        <w:spacing w:after="40"/>
      </w:pPr>
      <w:r>
        <w:t>Evidence-linked vulnerability/configuration/access indicators</w:t>
      </w:r>
    </w:p>
    <w:p>
      <w:pPr>
        <w:pStyle w:val="ListBullet"/>
        <w:spacing w:after="40"/>
      </w:pPr>
      <w:r>
        <w:t>Generation anomaly detection and estimated lost kWh</w:t>
      </w:r>
    </w:p>
    <w:p>
      <w:pPr>
        <w:pStyle w:val="ListBullet"/>
        <w:spacing w:after="40"/>
      </w:pPr>
      <w:r>
        <w:t>Cyber-to-energy correlation with confidence and alternative explanations</w:t>
      </w:r>
    </w:p>
    <w:p>
      <w:pPr>
        <w:pStyle w:val="ListBullet"/>
        <w:spacing w:after="40"/>
      </w:pPr>
      <w:r>
        <w:t>Data security and simulated AI-agent permission checks</w:t>
      </w:r>
    </w:p>
    <w:p>
      <w:pPr>
        <w:pStyle w:val="ListBullet"/>
        <w:spacing w:after="40"/>
      </w:pPr>
      <w:r>
        <w:t>Dashboard with evidence, priority and human-reviewed next steps</w:t>
      </w:r>
    </w:p>
    <w:p>
      <w:pPr>
        <w:pStyle w:val="Heading2"/>
      </w:pPr>
      <w:r>
        <w:t>POC Proposal</w:t>
      </w:r>
    </w:p>
    <w:p>
      <w:r>
        <w:t>Use synthetic solar sites, assets, vulnerabilities, event logs and generation series. Seed known anomalies and cyber indicators; show evidence correlation and impact estimates. No live grid, hardware integration or autonomous control.</w:t>
      </w:r>
    </w:p>
    <w:p>
      <w:pPr>
        <w:pStyle w:val="Heading2"/>
      </w:pPr>
      <w:r>
        <w:t>Expected Business Value</w:t>
      </w:r>
    </w:p>
    <w:p>
      <w:r>
        <w:t>Potentially help security and operations teams triage issues faster and understand possible operational consequences. Buyer demand and differentiation require validation.</w:t>
      </w:r>
    </w:p>
    <w:p>
      <w:pPr>
        <w:pStyle w:val="Heading2"/>
      </w:pPr>
      <w:r>
        <w:t>Potential Revenue Model</w:t>
      </w:r>
    </w:p>
    <w:p>
      <w:r>
        <w:t>Hypotheses: software subscription, assessment/pilot fees and integration services after validation.</w:t>
      </w:r>
    </w:p>
    <w:p>
      <w:pPr>
        <w:pStyle w:val="Heading2"/>
      </w:pPr>
      <w:r>
        <w:t>Indicative Technology Stack</w:t>
      </w:r>
    </w:p>
    <w:p>
      <w:r>
        <w:t>Python, Pandas/scikit-learn, FastAPI, PostgreSQL, Streamlit, Docker; optional approved LLM for summarisation only.</w:t>
      </w:r>
    </w:p>
    <w:p>
      <w:pPr>
        <w:pStyle w:val="Heading2"/>
      </w:pPr>
      <w:r>
        <w:t>Risks and Validation Required</w:t>
      </w:r>
    </w:p>
    <w:p>
      <w:r>
        <w:t>Do not attribute anomalies to attacks without evidence; potential overlap with OT security/SCADA/SIEM products; synthetic-first and human-reviewed.</w:t>
      </w:r>
    </w:p>
    <w:p>
      <w:r>
        <w:t>All revenue, market and differentiation statements are hypotheses until validated. Confirm internal EXL overlap and relevant approvals before submission.</w:t>
      </w:r>
    </w:p>
    <w:p>
      <w:r>
        <w:br w:type="page"/>
      </w:r>
    </w:p>
    <w:p>
      <w:pPr>
        <w:pStyle w:val="Heading1"/>
      </w:pPr>
      <w:r>
        <w:t>OutcomeLoop AI — AI Outcome Assurance</w:t>
      </w:r>
    </w:p>
    <w:p>
      <w:r>
        <w:rPr>
          <w:b/>
          <w:color w:val="087E8B"/>
          <w:sz w:val="24"/>
        </w:rPr>
        <w:t>Connect AI Recommendations to Verified Outcomes</w:t>
      </w:r>
    </w:p>
    <w:p>
      <w:r>
        <w:rPr>
          <w:b/>
        </w:rPr>
        <w:t xml:space="preserve">Status: </w:t>
      </w:r>
      <w:r>
        <w:t>Earlier working name considered; later Polaris selected as the locked concept name.</w:t>
      </w:r>
    </w:p>
    <w:p>
      <w:r>
        <w:rPr>
          <w:b/>
        </w:rPr>
        <w:t xml:space="preserve">Category: </w:t>
      </w:r>
      <w:r>
        <w:t>AI Value Realisation</w:t>
      </w:r>
    </w:p>
    <w:p>
      <w:pPr>
        <w:pStyle w:val="Heading2"/>
      </w:pPr>
      <w:r>
        <w:t>Problem Statement</w:t>
      </w:r>
    </w:p>
    <w:p>
      <w:r>
        <w:t>AI activity metrics do not automatically prove business value.</w:t>
      </w:r>
    </w:p>
    <w:p>
      <w:pPr>
        <w:pStyle w:val="Heading2"/>
      </w:pPr>
      <w:r>
        <w:t>Proposed Solution</w:t>
      </w:r>
    </w:p>
    <w:p>
      <w:r>
        <w:t>Connect AI workflow events to business KPIs and track estimated versus observed outcomes with disclosed assumptions.</w:t>
      </w:r>
    </w:p>
    <w:p>
      <w:pPr>
        <w:pStyle w:val="Heading2"/>
      </w:pPr>
      <w:r>
        <w:t>Core Capabilities</w:t>
      </w:r>
    </w:p>
    <w:p>
      <w:pPr>
        <w:pStyle w:val="ListBullet"/>
        <w:spacing w:after="40"/>
      </w:pPr>
      <w:r>
        <w:t>KPI baselines</w:t>
      </w:r>
    </w:p>
    <w:p>
      <w:pPr>
        <w:pStyle w:val="ListBullet"/>
        <w:spacing w:after="40"/>
      </w:pPr>
      <w:r>
        <w:t>Workflow-to-outcome linkage</w:t>
      </w:r>
    </w:p>
    <w:p>
      <w:pPr>
        <w:pStyle w:val="ListBullet"/>
        <w:spacing w:after="40"/>
      </w:pPr>
      <w:r>
        <w:t>Estimated versus realised benefit tracking</w:t>
      </w:r>
    </w:p>
    <w:p>
      <w:pPr>
        <w:pStyle w:val="ListBullet"/>
        <w:spacing w:after="40"/>
      </w:pPr>
      <w:r>
        <w:t>Deviation alerts</w:t>
      </w:r>
    </w:p>
    <w:p>
      <w:pPr>
        <w:pStyle w:val="ListBullet"/>
        <w:spacing w:after="40"/>
      </w:pPr>
      <w:r>
        <w:t>Audit trail</w:t>
      </w:r>
    </w:p>
    <w:p>
      <w:pPr>
        <w:pStyle w:val="Heading2"/>
      </w:pPr>
      <w:r>
        <w:t>POC Proposal</w:t>
      </w:r>
    </w:p>
    <w:p>
      <w:r>
        <w:t>Synthetic workflow baseline and simulated assisted workflow; compare metrics and label assumptions.</w:t>
      </w:r>
    </w:p>
    <w:p>
      <w:pPr>
        <w:pStyle w:val="Heading2"/>
      </w:pPr>
      <w:r>
        <w:t>Expected Business Value</w:t>
      </w:r>
    </w:p>
    <w:p>
      <w:r>
        <w:t>Better accountability for AI investments.</w:t>
      </w:r>
    </w:p>
    <w:p>
      <w:pPr>
        <w:pStyle w:val="Heading2"/>
      </w:pPr>
      <w:r>
        <w:t>Potential Revenue Model</w:t>
      </w:r>
    </w:p>
    <w:p>
      <w:r>
        <w:t>Subscription and integration services.</w:t>
      </w:r>
    </w:p>
    <w:p>
      <w:pPr>
        <w:pStyle w:val="Heading2"/>
      </w:pPr>
      <w:r>
        <w:t>Indicative Technology Stack</w:t>
      </w:r>
    </w:p>
    <w:p>
      <w:r>
        <w:t>Python, SQL, analytics and dashboard.</w:t>
      </w:r>
    </w:p>
    <w:p>
      <w:pPr>
        <w:pStyle w:val="Heading2"/>
      </w:pPr>
      <w:r>
        <w:t>Risks and Validation Required</w:t>
      </w:r>
    </w:p>
    <w:p>
      <w:r>
        <w:t>Near-duplicate of Polaris; keep as historical naming/variant, not a separate product submission.</w:t>
      </w:r>
    </w:p>
    <w:p>
      <w:r>
        <w:t>All revenue, market and differentiation statements are hypotheses until validated. Confirm internal EXL overlap and relevant approvals before submission.</w:t>
      </w:r>
    </w:p>
    <w:p>
      <w:r>
        <w:br w:type="page"/>
      </w:r>
    </w:p>
    <w:p>
      <w:pPr>
        <w:pStyle w:val="Heading1"/>
      </w:pPr>
      <w:r>
        <w:t>Project Helios — Energy Optimization Intelligence</w:t>
      </w:r>
    </w:p>
    <w:p>
      <w:r>
        <w:rPr>
          <w:b/>
          <w:color w:val="087E8B"/>
          <w:sz w:val="24"/>
        </w:rPr>
        <w:t>Turn Energy Data into Actionable Efficiency Opportunities</w:t>
      </w:r>
    </w:p>
    <w:p>
      <w:r>
        <w:rPr>
          <w:b/>
        </w:rPr>
        <w:t xml:space="preserve">Status: </w:t>
      </w:r>
      <w:r>
        <w:t>Early exploratory direction; superseded/narrowed by Vela for the current energy-security concept.</w:t>
      </w:r>
    </w:p>
    <w:p>
      <w:r>
        <w:rPr>
          <w:b/>
        </w:rPr>
        <w:t xml:space="preserve">Category: </w:t>
      </w:r>
      <w:r>
        <w:t>Energy Analytics | Efficiency</w:t>
      </w:r>
    </w:p>
    <w:p>
      <w:pPr>
        <w:pStyle w:val="Heading2"/>
      </w:pPr>
      <w:r>
        <w:t>Problem Statement</w:t>
      </w:r>
    </w:p>
    <w:p>
      <w:r>
        <w:t>Energy consumers and operators may have fragmented consumption and asset data that make inefficiencies difficult to spot.</w:t>
      </w:r>
    </w:p>
    <w:p>
      <w:pPr>
        <w:pStyle w:val="Heading2"/>
      </w:pPr>
      <w:r>
        <w:t>Proposed Solution</w:t>
      </w:r>
    </w:p>
    <w:p>
      <w:r>
        <w:t>Analyse energy-use data to flag unusual consumption and estimate efficiency opportunities using transparent assumptions.</w:t>
      </w:r>
    </w:p>
    <w:p>
      <w:pPr>
        <w:pStyle w:val="Heading2"/>
      </w:pPr>
      <w:r>
        <w:t>Core Capabilities</w:t>
      </w:r>
    </w:p>
    <w:p>
      <w:pPr>
        <w:pStyle w:val="ListBullet"/>
        <w:spacing w:after="40"/>
      </w:pPr>
      <w:r>
        <w:t>Consumption profile analysis</w:t>
      </w:r>
    </w:p>
    <w:p>
      <w:pPr>
        <w:pStyle w:val="ListBullet"/>
        <w:spacing w:after="40"/>
      </w:pPr>
      <w:r>
        <w:t>Anomaly and wastage indicators</w:t>
      </w:r>
    </w:p>
    <w:p>
      <w:pPr>
        <w:pStyle w:val="ListBullet"/>
        <w:spacing w:after="40"/>
      </w:pPr>
      <w:r>
        <w:t>Scenario comparisons</w:t>
      </w:r>
    </w:p>
    <w:p>
      <w:pPr>
        <w:pStyle w:val="ListBullet"/>
        <w:spacing w:after="40"/>
      </w:pPr>
      <w:r>
        <w:t>Estimated savings with assumptions</w:t>
      </w:r>
    </w:p>
    <w:p>
      <w:pPr>
        <w:pStyle w:val="ListBullet"/>
        <w:spacing w:after="40"/>
      </w:pPr>
      <w:r>
        <w:t>Actionable reporting</w:t>
      </w:r>
    </w:p>
    <w:p>
      <w:pPr>
        <w:pStyle w:val="Heading2"/>
      </w:pPr>
      <w:r>
        <w:t>POC Proposal</w:t>
      </w:r>
    </w:p>
    <w:p>
      <w:r>
        <w:t>Synthetic meter/consumption dataset; detect unusual usage and calculate illustrative savings.</w:t>
      </w:r>
    </w:p>
    <w:p>
      <w:pPr>
        <w:pStyle w:val="Heading2"/>
      </w:pPr>
      <w:r>
        <w:t>Expected Business Value</w:t>
      </w:r>
    </w:p>
    <w:p>
      <w:r>
        <w:t>Potentially improve visibility into efficiency opportunities.</w:t>
      </w:r>
    </w:p>
    <w:p>
      <w:pPr>
        <w:pStyle w:val="Heading2"/>
      </w:pPr>
      <w:r>
        <w:t>Potential Revenue Model</w:t>
      </w:r>
    </w:p>
    <w:p>
      <w:r>
        <w:t>Analytics subscription or energy-assessment services, subject to buyer validation.</w:t>
      </w:r>
    </w:p>
    <w:p>
      <w:pPr>
        <w:pStyle w:val="Heading2"/>
      </w:pPr>
      <w:r>
        <w:t>Indicative Technology Stack</w:t>
      </w:r>
    </w:p>
    <w:p>
      <w:r>
        <w:t>Python, Pandas, time-series analysis and dashboard.</w:t>
      </w:r>
    </w:p>
    <w:p>
      <w:pPr>
        <w:pStyle w:val="Heading2"/>
      </w:pPr>
      <w:r>
        <w:t>Risks and Validation Required</w:t>
      </w:r>
    </w:p>
    <w:p>
      <w:r>
        <w:t>Broad concept and crowded market; not the current locked Vela scope. Do not add grid/hybrid forecasting to Vela's initial POC.</w:t>
      </w:r>
    </w:p>
    <w:p>
      <w:r>
        <w:t>All revenue, market and differentiation statements are hypotheses until validated. Confirm internal EXL overlap and relevant approvals before submission.</w:t>
      </w:r>
    </w:p>
    <w:p>
      <w:r>
        <w:br w:type="page"/>
      </w:r>
    </w:p>
    <w:p>
      <w:pPr>
        <w:pStyle w:val="Heading1"/>
      </w:pPr>
      <w:r>
        <w:t>Project Midas — Deal Intelligence for Investment Banking</w:t>
      </w:r>
    </w:p>
    <w:p>
      <w:r>
        <w:rPr>
          <w:b/>
          <w:color w:val="087E8B"/>
          <w:sz w:val="24"/>
        </w:rPr>
        <w:t>Turn Deal Documents into Structured, Evidence-Backed Analysis</w:t>
      </w:r>
    </w:p>
    <w:p>
      <w:r>
        <w:rPr>
          <w:b/>
        </w:rPr>
        <w:t xml:space="preserve">Status: </w:t>
      </w:r>
      <w:r>
        <w:t>Early idea; user said investment banking domain familiarity is limited.</w:t>
      </w:r>
    </w:p>
    <w:p>
      <w:r>
        <w:rPr>
          <w:b/>
        </w:rPr>
        <w:t xml:space="preserve">Category: </w:t>
      </w:r>
      <w:r>
        <w:t>Investment Banking | Deal Analytics</w:t>
      </w:r>
    </w:p>
    <w:p>
      <w:pPr>
        <w:pStyle w:val="Heading2"/>
      </w:pPr>
      <w:r>
        <w:t>Problem Statement</w:t>
      </w:r>
    </w:p>
    <w:p>
      <w:r>
        <w:t>Deal teams review large volumes of filings, presentations and financial information under time pressure.</w:t>
      </w:r>
    </w:p>
    <w:p>
      <w:pPr>
        <w:pStyle w:val="Heading2"/>
      </w:pPr>
      <w:r>
        <w:t>Proposed Solution</w:t>
      </w:r>
    </w:p>
    <w:p>
      <w:r>
        <w:t>A constrained research assistant that extracts key deal facts, compares assumptions and produces traceable summaries for analyst review.</w:t>
      </w:r>
    </w:p>
    <w:p>
      <w:pPr>
        <w:pStyle w:val="Heading2"/>
      </w:pPr>
      <w:r>
        <w:t>Core Capabilities</w:t>
      </w:r>
    </w:p>
    <w:p>
      <w:pPr>
        <w:pStyle w:val="ListBullet"/>
        <w:spacing w:after="40"/>
      </w:pPr>
      <w:r>
        <w:t>Document extraction and structured deal facts</w:t>
      </w:r>
    </w:p>
    <w:p>
      <w:pPr>
        <w:pStyle w:val="ListBullet"/>
        <w:spacing w:after="40"/>
      </w:pPr>
      <w:r>
        <w:t>Source-linked summaries</w:t>
      </w:r>
    </w:p>
    <w:p>
      <w:pPr>
        <w:pStyle w:val="ListBullet"/>
        <w:spacing w:after="40"/>
      </w:pPr>
      <w:r>
        <w:t>Comparable-company/transaction input organisation where approved data exists</w:t>
      </w:r>
    </w:p>
    <w:p>
      <w:pPr>
        <w:pStyle w:val="ListBullet"/>
        <w:spacing w:after="40"/>
      </w:pPr>
      <w:r>
        <w:t>Assumption and inconsistency flags</w:t>
      </w:r>
    </w:p>
    <w:p>
      <w:pPr>
        <w:pStyle w:val="ListBullet"/>
        <w:spacing w:after="40"/>
      </w:pPr>
      <w:r>
        <w:t>Analyst review workflow</w:t>
      </w:r>
    </w:p>
    <w:p>
      <w:pPr>
        <w:pStyle w:val="Heading2"/>
      </w:pPr>
      <w:r>
        <w:t>POC Proposal</w:t>
      </w:r>
    </w:p>
    <w:p>
      <w:r>
        <w:t>Synthetic deal pack with fabricated financial statements and known inconsistencies; produce source-linked summary and checks.</w:t>
      </w:r>
    </w:p>
    <w:p>
      <w:pPr>
        <w:pStyle w:val="Heading2"/>
      </w:pPr>
      <w:r>
        <w:t>Expected Business Value</w:t>
      </w:r>
    </w:p>
    <w:p>
      <w:r>
        <w:t>Potentially reduce document triage effort; not a substitute for analyst judgement or regulated advice.</w:t>
      </w:r>
    </w:p>
    <w:p>
      <w:pPr>
        <w:pStyle w:val="Heading2"/>
      </w:pPr>
      <w:r>
        <w:t>Potential Revenue Model</w:t>
      </w:r>
    </w:p>
    <w:p>
      <w:r>
        <w:t>Enterprise subscription and data integration, requiring market validation.</w:t>
      </w:r>
    </w:p>
    <w:p>
      <w:pPr>
        <w:pStyle w:val="Heading2"/>
      </w:pPr>
      <w:r>
        <w:t>Indicative Technology Stack</w:t>
      </w:r>
    </w:p>
    <w:p>
      <w:r>
        <w:t>Python, document parsing, SQL, retrieval and dashboard.</w:t>
      </w:r>
    </w:p>
    <w:p>
      <w:pPr>
        <w:pStyle w:val="Heading2"/>
      </w:pPr>
      <w:r>
        <w:t>Risks and Validation Required</w:t>
      </w:r>
    </w:p>
    <w:p>
      <w:r>
        <w:t>Requires domain expertise, licensed data and validation; do not claim live market-data capability without access.</w:t>
      </w:r>
    </w:p>
    <w:p>
      <w:r>
        <w:t>All revenue, market and differentiation statements are hypotheses until validated. Confirm internal EXL overlap and relevant approvals before submission.</w:t>
      </w:r>
    </w:p>
    <w:p>
      <w:r>
        <w:br w:type="page"/>
      </w:r>
    </w:p>
    <w:p>
      <w:pPr>
        <w:pStyle w:val="Heading1"/>
      </w:pPr>
      <w:r>
        <w:t>Project Apollo — Energy Procurement Intelligence</w:t>
      </w:r>
    </w:p>
    <w:p>
      <w:r>
        <w:rPr>
          <w:b/>
          <w:color w:val="087E8B"/>
          <w:sz w:val="24"/>
        </w:rPr>
        <w:t>Make Energy Procurement Decisions More Transparent</w:t>
      </w:r>
    </w:p>
    <w:p>
      <w:r>
        <w:rPr>
          <w:b/>
        </w:rPr>
        <w:t xml:space="preserve">Status: </w:t>
      </w:r>
      <w:r>
        <w:t>Briefly explored as a possible energy-sector direction.</w:t>
      </w:r>
    </w:p>
    <w:p>
      <w:r>
        <w:rPr>
          <w:b/>
        </w:rPr>
        <w:t xml:space="preserve">Category: </w:t>
      </w:r>
      <w:r>
        <w:t>Energy Procurement | Analytics</w:t>
      </w:r>
    </w:p>
    <w:p>
      <w:pPr>
        <w:pStyle w:val="Heading2"/>
      </w:pPr>
      <w:r>
        <w:t>Problem Statement</w:t>
      </w:r>
    </w:p>
    <w:p>
      <w:r>
        <w:t>Organisations procuring energy may need to compare offers, consumption profiles, contract terms and risk assumptions.</w:t>
      </w:r>
    </w:p>
    <w:p>
      <w:pPr>
        <w:pStyle w:val="Heading2"/>
      </w:pPr>
      <w:r>
        <w:t>Proposed Solution</w:t>
      </w:r>
    </w:p>
    <w:p>
      <w:r>
        <w:t>Structure energy procurement inputs and compare scenarios with transparent assumptions and sensitivity analysis.</w:t>
      </w:r>
    </w:p>
    <w:p>
      <w:pPr>
        <w:pStyle w:val="Heading2"/>
      </w:pPr>
      <w:r>
        <w:t>Core Capabilities</w:t>
      </w:r>
    </w:p>
    <w:p>
      <w:pPr>
        <w:pStyle w:val="ListBullet"/>
        <w:spacing w:after="40"/>
      </w:pPr>
      <w:r>
        <w:t>Offer/contract term extraction</w:t>
      </w:r>
    </w:p>
    <w:p>
      <w:pPr>
        <w:pStyle w:val="ListBullet"/>
        <w:spacing w:after="40"/>
      </w:pPr>
      <w:r>
        <w:t>Consumption profile alignment</w:t>
      </w:r>
    </w:p>
    <w:p>
      <w:pPr>
        <w:pStyle w:val="ListBullet"/>
        <w:spacing w:after="40"/>
      </w:pPr>
      <w:r>
        <w:t>Scenario and sensitivity analysis</w:t>
      </w:r>
    </w:p>
    <w:p>
      <w:pPr>
        <w:pStyle w:val="ListBullet"/>
        <w:spacing w:after="40"/>
      </w:pPr>
      <w:r>
        <w:t>Risk/assumption register</w:t>
      </w:r>
    </w:p>
    <w:p>
      <w:pPr>
        <w:pStyle w:val="ListBullet"/>
        <w:spacing w:after="40"/>
      </w:pPr>
      <w:r>
        <w:t>Decision-ready comparison report</w:t>
      </w:r>
    </w:p>
    <w:p>
      <w:pPr>
        <w:pStyle w:val="Heading2"/>
      </w:pPr>
      <w:r>
        <w:t>POC Proposal</w:t>
      </w:r>
    </w:p>
    <w:p>
      <w:r>
        <w:t>Synthetic energy offers and load profiles; compare cost scenarios and flag assumptions.</w:t>
      </w:r>
    </w:p>
    <w:p>
      <w:pPr>
        <w:pStyle w:val="Heading2"/>
      </w:pPr>
      <w:r>
        <w:t>Expected Business Value</w:t>
      </w:r>
    </w:p>
    <w:p>
      <w:r>
        <w:t>Potentially improve decision transparency and reduce manual comparison work.</w:t>
      </w:r>
    </w:p>
    <w:p>
      <w:pPr>
        <w:pStyle w:val="Heading2"/>
      </w:pPr>
      <w:r>
        <w:t>Potential Revenue Model</w:t>
      </w:r>
    </w:p>
    <w:p>
      <w:r>
        <w:t>Subscription or advisory analytics services, subject to validation.</w:t>
      </w:r>
    </w:p>
    <w:p>
      <w:pPr>
        <w:pStyle w:val="Heading2"/>
      </w:pPr>
      <w:r>
        <w:t>Indicative Technology Stack</w:t>
      </w:r>
    </w:p>
    <w:p>
      <w:r>
        <w:t>Python, Pandas, scenario engine and dashboard.</w:t>
      </w:r>
    </w:p>
    <w:p>
      <w:pPr>
        <w:pStyle w:val="Heading2"/>
      </w:pPr>
      <w:r>
        <w:t>Risks and Validation Required</w:t>
      </w:r>
    </w:p>
    <w:p>
      <w:r>
        <w:t>Commercial, jurisdictional and data requirements vary; this is exploratory, not a selected concept.</w:t>
      </w:r>
    </w:p>
    <w:p>
      <w:r>
        <w:t>All revenue, market and differentiation statements are hypotheses until validated. Confirm internal EXL overlap and relevant approvals before submission.</w:t>
      </w:r>
    </w:p>
    <w:p>
      <w:r>
        <w:br w:type="page"/>
      </w:r>
    </w:p>
    <w:p>
      <w:pPr>
        <w:pStyle w:val="Heading1"/>
      </w:pPr>
      <w:r>
        <w:t>Project Prometheus — Renewable Asset Intelligence</w:t>
      </w:r>
    </w:p>
    <w:p>
      <w:r>
        <w:rPr>
          <w:b/>
          <w:color w:val="087E8B"/>
          <w:sz w:val="24"/>
        </w:rPr>
        <w:t>Improve Visibility into Renewable Asset Performance</w:t>
      </w:r>
    </w:p>
    <w:p>
      <w:r>
        <w:rPr>
          <w:b/>
        </w:rPr>
        <w:t xml:space="preserve">Status: </w:t>
      </w:r>
      <w:r>
        <w:t>Briefly explored as a possible energy-sector direction.</w:t>
      </w:r>
    </w:p>
    <w:p>
      <w:r>
        <w:rPr>
          <w:b/>
        </w:rPr>
        <w:t xml:space="preserve">Category: </w:t>
      </w:r>
      <w:r>
        <w:t>Renewable Operations | Asset Analytics</w:t>
      </w:r>
    </w:p>
    <w:p>
      <w:pPr>
        <w:pStyle w:val="Heading2"/>
      </w:pPr>
      <w:r>
        <w:t>Problem Statement</w:t>
      </w:r>
    </w:p>
    <w:p>
      <w:r>
        <w:t>Operators may need to combine asset condition, maintenance and performance signals to prioritise inspections.</w:t>
      </w:r>
    </w:p>
    <w:p>
      <w:pPr>
        <w:pStyle w:val="Heading2"/>
      </w:pPr>
      <w:r>
        <w:t>Proposed Solution</w:t>
      </w:r>
    </w:p>
    <w:p>
      <w:r>
        <w:t>A software analytics layer to flag performance anomalies and prioritise maintenance investigation using provided data.</w:t>
      </w:r>
    </w:p>
    <w:p>
      <w:pPr>
        <w:pStyle w:val="Heading2"/>
      </w:pPr>
      <w:r>
        <w:t>Core Capabilities</w:t>
      </w:r>
    </w:p>
    <w:p>
      <w:pPr>
        <w:pStyle w:val="ListBullet"/>
        <w:spacing w:after="40"/>
      </w:pPr>
      <w:r>
        <w:t>Asset register and condition data</w:t>
      </w:r>
    </w:p>
    <w:p>
      <w:pPr>
        <w:pStyle w:val="ListBullet"/>
        <w:spacing w:after="40"/>
      </w:pPr>
      <w:r>
        <w:t>Performance anomaly flags</w:t>
      </w:r>
    </w:p>
    <w:p>
      <w:pPr>
        <w:pStyle w:val="ListBullet"/>
        <w:spacing w:after="40"/>
      </w:pPr>
      <w:r>
        <w:t>Maintenance priority ranking</w:t>
      </w:r>
    </w:p>
    <w:p>
      <w:pPr>
        <w:pStyle w:val="ListBullet"/>
        <w:spacing w:after="40"/>
      </w:pPr>
      <w:r>
        <w:t>Evidence-linked recommendations</w:t>
      </w:r>
    </w:p>
    <w:p>
      <w:pPr>
        <w:pStyle w:val="ListBullet"/>
        <w:spacing w:after="40"/>
      </w:pPr>
      <w:r>
        <w:t>Performance reporting</w:t>
      </w:r>
    </w:p>
    <w:p>
      <w:pPr>
        <w:pStyle w:val="Heading2"/>
      </w:pPr>
      <w:r>
        <w:t>POC Proposal</w:t>
      </w:r>
    </w:p>
    <w:p>
      <w:r>
        <w:t>Synthetic asset and maintenance dataset with seeded anomalies.</w:t>
      </w:r>
    </w:p>
    <w:p>
      <w:pPr>
        <w:pStyle w:val="Heading2"/>
      </w:pPr>
      <w:r>
        <w:t>Expected Business Value</w:t>
      </w:r>
    </w:p>
    <w:p>
      <w:r>
        <w:t>Potentially improve inspection prioritisation and operational visibility.</w:t>
      </w:r>
    </w:p>
    <w:p>
      <w:pPr>
        <w:pStyle w:val="Heading2"/>
      </w:pPr>
      <w:r>
        <w:t>Potential Revenue Model</w:t>
      </w:r>
    </w:p>
    <w:p>
      <w:r>
        <w:t>Subscription and implementation services, subject to validation.</w:t>
      </w:r>
    </w:p>
    <w:p>
      <w:pPr>
        <w:pStyle w:val="Heading2"/>
      </w:pPr>
      <w:r>
        <w:t>Indicative Technology Stack</w:t>
      </w:r>
    </w:p>
    <w:p>
      <w:r>
        <w:t>Python, Pandas, time-series rules and dashboard.</w:t>
      </w:r>
    </w:p>
    <w:p>
      <w:pPr>
        <w:pStyle w:val="Heading2"/>
      </w:pPr>
      <w:r>
        <w:t>Risks and Validation Required</w:t>
      </w:r>
    </w:p>
    <w:p>
      <w:r>
        <w:t>Could overlap with existing asset performance/maintenance platforms; exploratory only.</w:t>
      </w:r>
    </w:p>
    <w:p>
      <w:r>
        <w:t>All revenue, market and differentiation statements are hypotheses until validated. Confirm internal EXL overlap and relevant approvals before submission.</w:t>
      </w:r>
    </w:p>
    <w:p>
      <w:r>
        <w:br w:type="page"/>
      </w:r>
    </w:p>
    <w:p>
      <w:pPr>
        <w:pStyle w:val="Heading1"/>
      </w:pPr>
      <w:r>
        <w:t>Reference concepts mentioned by the user (not new proposals)</w:t>
      </w:r>
    </w:p>
    <w:p>
      <w:r>
        <w:t>The following names were read out as existing Hall of Fame or internal/reference ideas. They are recorded here for portfolio awareness, not presented as our original product proposals. Their exact scope and current status have not been independently verified.</w:t>
      </w:r>
    </w:p>
    <w:tbl>
      <w:tblPr>
        <w:tblStyle w:val="TableGrid"/>
        <w:tblW w:type="auto" w:w="0"/>
        <w:tblLook w:firstColumn="1" w:firstRow="1" w:lastColumn="0" w:lastRow="0" w:noHBand="0" w:noVBand="1" w:val="04A0"/>
      </w:tblPr>
      <w:tblGrid>
        <w:gridCol w:w="5083"/>
        <w:gridCol w:w="5083"/>
      </w:tblGrid>
      <w:tr>
        <w:tc>
          <w:tcPr>
            <w:tcW w:type="dxa" w:w="5083"/>
            <w:shd w:fill="12304A"/>
            <w:vAlign w:val="center"/>
          </w:tcPr>
          <w:p>
            <w:pPr>
              <w:spacing w:after="40"/>
            </w:pPr>
            <w:r/>
            <w:r>
              <w:rPr>
                <w:rFonts w:ascii="Aptos" w:hAnsi="Aptos"/>
                <w:b/>
                <w:color w:val="FFFFFF"/>
                <w:sz w:val="17"/>
              </w:rPr>
              <w:t>Reference name</w:t>
            </w:r>
          </w:p>
        </w:tc>
        <w:tc>
          <w:tcPr>
            <w:tcW w:type="dxa" w:w="5083"/>
            <w:shd w:fill="12304A"/>
            <w:vAlign w:val="center"/>
          </w:tcPr>
          <w:p>
            <w:pPr>
              <w:spacing w:after="40"/>
            </w:pPr>
            <w:r/>
            <w:r>
              <w:rPr>
                <w:rFonts w:ascii="Aptos" w:hAnsi="Aptos"/>
                <w:b/>
                <w:color w:val="FFFFFF"/>
                <w:sz w:val="17"/>
              </w:rPr>
              <w:t>User-described theme (summary only)</w:t>
            </w:r>
          </w:p>
        </w:tc>
      </w:tr>
      <w:tr>
        <w:tc>
          <w:tcPr>
            <w:tcW w:type="dxa" w:w="5083"/>
            <w:vAlign w:val="center"/>
          </w:tcPr>
          <w:p>
            <w:pPr>
              <w:spacing w:after="40"/>
            </w:pPr>
            <w:r/>
            <w:r>
              <w:rPr>
                <w:rFonts w:ascii="Aptos" w:hAnsi="Aptos"/>
                <w:b/>
                <w:sz w:val="17"/>
              </w:rPr>
              <w:t>SEED</w:t>
            </w:r>
          </w:p>
        </w:tc>
        <w:tc>
          <w:tcPr>
            <w:tcW w:type="dxa" w:w="5083"/>
            <w:vAlign w:val="center"/>
          </w:tcPr>
          <w:p>
            <w:pPr>
              <w:spacing w:after="40"/>
            </w:pPr>
            <w:r/>
            <w:r>
              <w:rPr>
                <w:rFonts w:ascii="Aptos" w:hAnsi="Aptos"/>
                <w:b w:val="0"/>
                <w:sz w:val="17"/>
              </w:rPr>
              <w:t>Synthetic clinical/episodic datasets for healthcare AI testing, training and prototyping; privacy-conscious data assets and sandbox concept.</w:t>
            </w:r>
          </w:p>
        </w:tc>
      </w:tr>
      <w:tr>
        <w:tc>
          <w:tcPr>
            <w:tcW w:type="dxa" w:w="5083"/>
            <w:shd w:fill="F1F6F8"/>
            <w:vAlign w:val="center"/>
          </w:tcPr>
          <w:p>
            <w:pPr>
              <w:spacing w:after="40"/>
            </w:pPr>
            <w:r/>
            <w:r>
              <w:rPr>
                <w:rFonts w:ascii="Aptos" w:hAnsi="Aptos"/>
                <w:b/>
                <w:sz w:val="17"/>
              </w:rPr>
              <w:t>Stress AI</w:t>
            </w:r>
          </w:p>
        </w:tc>
        <w:tc>
          <w:tcPr>
            <w:tcW w:type="dxa" w:w="5083"/>
            <w:shd w:fill="F1F6F8"/>
            <w:vAlign w:val="center"/>
          </w:tcPr>
          <w:p>
            <w:pPr>
              <w:spacing w:after="40"/>
            </w:pPr>
            <w:r/>
            <w:r>
              <w:rPr>
                <w:rFonts w:ascii="Aptos" w:hAnsi="Aptos"/>
                <w:b w:val="0"/>
                <w:sz w:val="17"/>
              </w:rPr>
              <w:t>AI-first stress-testing and capital optimisation concept for regulatory/financial workflows.</w:t>
            </w:r>
          </w:p>
        </w:tc>
      </w:tr>
      <w:tr>
        <w:tc>
          <w:tcPr>
            <w:tcW w:type="dxa" w:w="5083"/>
            <w:vAlign w:val="center"/>
          </w:tcPr>
          <w:p>
            <w:pPr>
              <w:spacing w:after="40"/>
            </w:pPr>
            <w:r/>
            <w:r>
              <w:rPr>
                <w:rFonts w:ascii="Aptos" w:hAnsi="Aptos"/>
                <w:b/>
                <w:sz w:val="17"/>
              </w:rPr>
              <w:t>LLM Control Hub</w:t>
            </w:r>
          </w:p>
        </w:tc>
        <w:tc>
          <w:tcPr>
            <w:tcW w:type="dxa" w:w="5083"/>
            <w:vAlign w:val="center"/>
          </w:tcPr>
          <w:p>
            <w:pPr>
              <w:spacing w:after="40"/>
            </w:pPr>
            <w:r/>
            <w:r>
              <w:rPr>
                <w:rFonts w:ascii="Aptos" w:hAnsi="Aptos"/>
                <w:b w:val="0"/>
                <w:sz w:val="17"/>
              </w:rPr>
              <w:t>Multi-LLM wrapper/control layer: API abstraction, prompt versioning, token/cost visibility, PII detection, scoring and recommendations.</w:t>
            </w:r>
          </w:p>
        </w:tc>
      </w:tr>
      <w:tr>
        <w:tc>
          <w:tcPr>
            <w:tcW w:type="dxa" w:w="5083"/>
            <w:shd w:fill="F1F6F8"/>
            <w:vAlign w:val="center"/>
          </w:tcPr>
          <w:p>
            <w:pPr>
              <w:spacing w:after="40"/>
            </w:pPr>
            <w:r/>
            <w:r>
              <w:rPr>
                <w:rFonts w:ascii="Aptos" w:hAnsi="Aptos"/>
                <w:b/>
                <w:sz w:val="17"/>
              </w:rPr>
              <w:t>Cloud MOF</w:t>
            </w:r>
          </w:p>
        </w:tc>
        <w:tc>
          <w:tcPr>
            <w:tcW w:type="dxa" w:w="5083"/>
            <w:shd w:fill="F1F6F8"/>
            <w:vAlign w:val="center"/>
          </w:tcPr>
          <w:p>
            <w:pPr>
              <w:spacing w:after="40"/>
            </w:pPr>
            <w:r/>
            <w:r>
              <w:rPr>
                <w:rFonts w:ascii="Aptos" w:hAnsi="Aptos"/>
                <w:b w:val="0"/>
                <w:sz w:val="17"/>
              </w:rPr>
              <w:t>Multi-cloud-related concept; user identified it as a possible overlap for NOVA.</w:t>
            </w:r>
          </w:p>
        </w:tc>
      </w:tr>
      <w:tr>
        <w:tc>
          <w:tcPr>
            <w:tcW w:type="dxa" w:w="5083"/>
            <w:vAlign w:val="center"/>
          </w:tcPr>
          <w:p>
            <w:pPr>
              <w:spacing w:after="40"/>
            </w:pPr>
            <w:r/>
            <w:r>
              <w:rPr>
                <w:rFonts w:ascii="Aptos" w:hAnsi="Aptos"/>
                <w:b/>
                <w:sz w:val="17"/>
              </w:rPr>
              <w:t>NoteSync</w:t>
            </w:r>
          </w:p>
        </w:tc>
        <w:tc>
          <w:tcPr>
            <w:tcW w:type="dxa" w:w="5083"/>
            <w:vAlign w:val="center"/>
          </w:tcPr>
          <w:p>
            <w:pPr>
              <w:spacing w:after="40"/>
            </w:pPr>
            <w:r/>
            <w:r>
              <w:rPr>
                <w:rFonts w:ascii="Aptos" w:hAnsi="Aptos"/>
                <w:b w:val="0"/>
                <w:sz w:val="17"/>
              </w:rPr>
              <w:t>AI-native extraction/synchronisation and validation of disclosures from structured and unstructured data, with versioning and audit trail.</w:t>
            </w:r>
          </w:p>
        </w:tc>
      </w:tr>
      <w:tr>
        <w:tc>
          <w:tcPr>
            <w:tcW w:type="dxa" w:w="5083"/>
            <w:shd w:fill="F1F6F8"/>
            <w:vAlign w:val="center"/>
          </w:tcPr>
          <w:p>
            <w:pPr>
              <w:spacing w:after="40"/>
            </w:pPr>
            <w:r/>
            <w:r>
              <w:rPr>
                <w:rFonts w:ascii="Aptos" w:hAnsi="Aptos"/>
                <w:b/>
                <w:sz w:val="17"/>
              </w:rPr>
              <w:t>EXL Spear</w:t>
            </w:r>
          </w:p>
        </w:tc>
        <w:tc>
          <w:tcPr>
            <w:tcW w:type="dxa" w:w="5083"/>
            <w:shd w:fill="F1F6F8"/>
            <w:vAlign w:val="center"/>
          </w:tcPr>
          <w:p>
            <w:pPr>
              <w:spacing w:after="40"/>
            </w:pPr>
            <w:r/>
            <w:r>
              <w:rPr>
                <w:rFonts w:ascii="Aptos" w:hAnsi="Aptos"/>
                <w:b w:val="0"/>
                <w:sz w:val="17"/>
              </w:rPr>
              <w:t>Clinical-trial delay-related concept.</w:t>
            </w:r>
          </w:p>
        </w:tc>
      </w:tr>
      <w:tr>
        <w:tc>
          <w:tcPr>
            <w:tcW w:type="dxa" w:w="5083"/>
            <w:vAlign w:val="center"/>
          </w:tcPr>
          <w:p>
            <w:pPr>
              <w:spacing w:after="40"/>
            </w:pPr>
            <w:r/>
            <w:r>
              <w:rPr>
                <w:rFonts w:ascii="Aptos" w:hAnsi="Aptos"/>
                <w:b/>
                <w:sz w:val="17"/>
              </w:rPr>
              <w:t>EXL Sentinel AI</w:t>
            </w:r>
          </w:p>
        </w:tc>
        <w:tc>
          <w:tcPr>
            <w:tcW w:type="dxa" w:w="5083"/>
            <w:vAlign w:val="center"/>
          </w:tcPr>
          <w:p>
            <w:pPr>
              <w:spacing w:after="40"/>
            </w:pPr>
            <w:r/>
            <w:r>
              <w:rPr>
                <w:rFonts w:ascii="Aptos" w:hAnsi="Aptos"/>
                <w:b w:val="0"/>
                <w:sz w:val="17"/>
              </w:rPr>
              <w:t>Workplace injury/safety-related concept.</w:t>
            </w:r>
          </w:p>
        </w:tc>
      </w:tr>
      <w:tr>
        <w:tc>
          <w:tcPr>
            <w:tcW w:type="dxa" w:w="5083"/>
            <w:shd w:fill="F1F6F8"/>
            <w:vAlign w:val="center"/>
          </w:tcPr>
          <w:p>
            <w:pPr>
              <w:spacing w:after="40"/>
            </w:pPr>
            <w:r/>
            <w:r>
              <w:rPr>
                <w:rFonts w:ascii="Aptos" w:hAnsi="Aptos"/>
                <w:b/>
                <w:sz w:val="17"/>
              </w:rPr>
              <w:t>CloseCraft RVP</w:t>
            </w:r>
          </w:p>
        </w:tc>
        <w:tc>
          <w:tcPr>
            <w:tcW w:type="dxa" w:w="5083"/>
            <w:shd w:fill="F1F6F8"/>
            <w:vAlign w:val="center"/>
          </w:tcPr>
          <w:p>
            <w:pPr>
              <w:spacing w:after="40"/>
            </w:pPr>
            <w:r/>
            <w:r>
              <w:rPr>
                <w:rFonts w:ascii="Aptos" w:hAnsi="Aptos"/>
                <w:b w:val="0"/>
                <w:sz w:val="17"/>
              </w:rPr>
              <w:t>Judgment-based pricing / retirement-related concept as described in conversation.</w:t>
            </w:r>
          </w:p>
        </w:tc>
      </w:tr>
      <w:tr>
        <w:tc>
          <w:tcPr>
            <w:tcW w:type="dxa" w:w="5083"/>
            <w:vAlign w:val="center"/>
          </w:tcPr>
          <w:p>
            <w:pPr>
              <w:spacing w:after="40"/>
            </w:pPr>
            <w:r/>
            <w:r>
              <w:rPr>
                <w:rFonts w:ascii="Aptos" w:hAnsi="Aptos"/>
                <w:b/>
                <w:sz w:val="17"/>
              </w:rPr>
              <w:t>EXL Virtual Insurance Market</w:t>
            </w:r>
          </w:p>
        </w:tc>
        <w:tc>
          <w:tcPr>
            <w:tcW w:type="dxa" w:w="5083"/>
            <w:vAlign w:val="center"/>
          </w:tcPr>
          <w:p>
            <w:pPr>
              <w:spacing w:after="40"/>
            </w:pPr>
            <w:r/>
            <w:r>
              <w:rPr>
                <w:rFonts w:ascii="Aptos" w:hAnsi="Aptos"/>
                <w:b w:val="0"/>
                <w:sz w:val="17"/>
              </w:rPr>
              <w:t>Insurance-related concept mentioned by user.</w:t>
            </w:r>
          </w:p>
        </w:tc>
      </w:tr>
      <w:tr>
        <w:tc>
          <w:tcPr>
            <w:tcW w:type="dxa" w:w="5083"/>
            <w:shd w:fill="F1F6F8"/>
            <w:vAlign w:val="center"/>
          </w:tcPr>
          <w:p>
            <w:pPr>
              <w:spacing w:after="40"/>
            </w:pPr>
            <w:r/>
            <w:r>
              <w:rPr>
                <w:rFonts w:ascii="Aptos" w:hAnsi="Aptos"/>
                <w:b/>
                <w:sz w:val="17"/>
              </w:rPr>
              <w:t>Meta Workbench</w:t>
            </w:r>
          </w:p>
        </w:tc>
        <w:tc>
          <w:tcPr>
            <w:tcW w:type="dxa" w:w="5083"/>
            <w:shd w:fill="F1F6F8"/>
            <w:vAlign w:val="center"/>
          </w:tcPr>
          <w:p>
            <w:pPr>
              <w:spacing w:after="40"/>
            </w:pPr>
            <w:r/>
            <w:r>
              <w:rPr>
                <w:rFonts w:ascii="Aptos" w:hAnsi="Aptos"/>
                <w:b w:val="0"/>
                <w:sz w:val="17"/>
              </w:rPr>
              <w:t>Metadata tool concept.</w:t>
            </w:r>
          </w:p>
        </w:tc>
      </w:tr>
      <w:tr>
        <w:tc>
          <w:tcPr>
            <w:tcW w:type="dxa" w:w="5083"/>
            <w:vAlign w:val="center"/>
          </w:tcPr>
          <w:p>
            <w:pPr>
              <w:spacing w:after="40"/>
            </w:pPr>
            <w:r/>
            <w:r>
              <w:rPr>
                <w:rFonts w:ascii="Aptos" w:hAnsi="Aptos"/>
                <w:b/>
                <w:sz w:val="17"/>
              </w:rPr>
              <w:t>View 360</w:t>
            </w:r>
          </w:p>
        </w:tc>
        <w:tc>
          <w:tcPr>
            <w:tcW w:type="dxa" w:w="5083"/>
            <w:vAlign w:val="center"/>
          </w:tcPr>
          <w:p>
            <w:pPr>
              <w:spacing w:after="40"/>
            </w:pPr>
            <w:r/>
            <w:r>
              <w:rPr>
                <w:rFonts w:ascii="Aptos" w:hAnsi="Aptos"/>
                <w:b w:val="0"/>
                <w:sz w:val="17"/>
              </w:rPr>
              <w:t>Named as a tool/initiative; exact scope not fully specified.</w:t>
            </w:r>
          </w:p>
        </w:tc>
      </w:tr>
      <w:tr>
        <w:tc>
          <w:tcPr>
            <w:tcW w:type="dxa" w:w="5083"/>
            <w:shd w:fill="F1F6F8"/>
            <w:vAlign w:val="center"/>
          </w:tcPr>
          <w:p>
            <w:pPr>
              <w:spacing w:after="40"/>
            </w:pPr>
            <w:r/>
            <w:r>
              <w:rPr>
                <w:rFonts w:ascii="Aptos" w:hAnsi="Aptos"/>
                <w:b/>
                <w:sz w:val="17"/>
              </w:rPr>
              <w:t>Fraud tools</w:t>
            </w:r>
          </w:p>
        </w:tc>
        <w:tc>
          <w:tcPr>
            <w:tcW w:type="dxa" w:w="5083"/>
            <w:shd w:fill="F1F6F8"/>
            <w:vAlign w:val="center"/>
          </w:tcPr>
          <w:p>
            <w:pPr>
              <w:spacing w:after="40"/>
            </w:pPr>
            <w:r/>
            <w:r>
              <w:rPr>
                <w:rFonts w:ascii="Aptos" w:hAnsi="Aptos"/>
                <w:b w:val="0"/>
                <w:sz w:val="17"/>
              </w:rPr>
              <w:t>Generic fraud tooling and the opportunity for more domain-specific solutions.</w:t>
            </w:r>
          </w:p>
        </w:tc>
      </w:tr>
      <w:tr>
        <w:tc>
          <w:tcPr>
            <w:tcW w:type="dxa" w:w="5083"/>
            <w:vAlign w:val="center"/>
          </w:tcPr>
          <w:p>
            <w:pPr>
              <w:spacing w:after="40"/>
            </w:pPr>
            <w:r/>
            <w:r>
              <w:rPr>
                <w:rFonts w:ascii="Aptos" w:hAnsi="Aptos"/>
                <w:b/>
                <w:sz w:val="17"/>
              </w:rPr>
              <w:t>EXL Lens / Flux</w:t>
            </w:r>
          </w:p>
        </w:tc>
        <w:tc>
          <w:tcPr>
            <w:tcW w:type="dxa" w:w="5083"/>
            <w:vAlign w:val="center"/>
          </w:tcPr>
          <w:p>
            <w:pPr>
              <w:spacing w:after="40"/>
            </w:pPr>
            <w:r/>
            <w:r>
              <w:rPr>
                <w:rFonts w:ascii="Aptos" w:hAnsi="Aptos"/>
                <w:b w:val="0"/>
                <w:sz w:val="17"/>
              </w:rPr>
              <w:t>ESG data/reporting and LLM carbon/regulatory-related concepts as described by user.</w:t>
            </w:r>
          </w:p>
        </w:tc>
      </w:tr>
      <w:tr>
        <w:tc>
          <w:tcPr>
            <w:tcW w:type="dxa" w:w="5083"/>
            <w:shd w:fill="F1F6F8"/>
            <w:vAlign w:val="center"/>
          </w:tcPr>
          <w:p>
            <w:pPr>
              <w:spacing w:after="40"/>
            </w:pPr>
            <w:r/>
            <w:r>
              <w:rPr>
                <w:rFonts w:ascii="Aptos" w:hAnsi="Aptos"/>
                <w:b/>
                <w:sz w:val="17"/>
              </w:rPr>
              <w:t>Doc EXL.ai</w:t>
            </w:r>
          </w:p>
        </w:tc>
        <w:tc>
          <w:tcPr>
            <w:tcW w:type="dxa" w:w="5083"/>
            <w:shd w:fill="F1F6F8"/>
            <w:vAlign w:val="center"/>
          </w:tcPr>
          <w:p>
            <w:pPr>
              <w:spacing w:after="40"/>
            </w:pPr>
            <w:r/>
            <w:r>
              <w:rPr>
                <w:rFonts w:ascii="Aptos" w:hAnsi="Aptos"/>
                <w:b w:val="0"/>
                <w:sz w:val="17"/>
              </w:rPr>
              <w:t>Document/AI-related initiative mentioned; exact scope not fully specified.</w:t>
            </w:r>
          </w:p>
        </w:tc>
      </w:tr>
      <w:tr>
        <w:tc>
          <w:tcPr>
            <w:tcW w:type="dxa" w:w="5083"/>
            <w:vAlign w:val="center"/>
          </w:tcPr>
          <w:p>
            <w:pPr>
              <w:spacing w:after="40"/>
            </w:pPr>
            <w:r/>
            <w:r>
              <w:rPr>
                <w:rFonts w:ascii="Aptos" w:hAnsi="Aptos"/>
                <w:b/>
                <w:sz w:val="17"/>
              </w:rPr>
              <w:t>EXL iSort</w:t>
            </w:r>
          </w:p>
        </w:tc>
        <w:tc>
          <w:tcPr>
            <w:tcW w:type="dxa" w:w="5083"/>
            <w:vAlign w:val="center"/>
          </w:tcPr>
          <w:p>
            <w:pPr>
              <w:spacing w:after="40"/>
            </w:pPr>
            <w:r/>
            <w:r>
              <w:rPr>
                <w:rFonts w:ascii="Aptos" w:hAnsi="Aptos"/>
                <w:b w:val="0"/>
                <w:sz w:val="17"/>
              </w:rPr>
              <w:t>DevSecOps/cybersecurity and compliance tooling concept.</w:t>
            </w:r>
          </w:p>
        </w:tc>
      </w:tr>
      <w:tr>
        <w:tc>
          <w:tcPr>
            <w:tcW w:type="dxa" w:w="5083"/>
            <w:shd w:fill="F1F6F8"/>
            <w:vAlign w:val="center"/>
          </w:tcPr>
          <w:p>
            <w:pPr>
              <w:spacing w:after="40"/>
            </w:pPr>
            <w:r/>
            <w:r>
              <w:rPr>
                <w:rFonts w:ascii="Aptos" w:hAnsi="Aptos"/>
                <w:b/>
                <w:sz w:val="17"/>
              </w:rPr>
              <w:t>Insurance ECM</w:t>
            </w:r>
          </w:p>
        </w:tc>
        <w:tc>
          <w:tcPr>
            <w:tcW w:type="dxa" w:w="5083"/>
            <w:shd w:fill="F1F6F8"/>
            <w:vAlign w:val="center"/>
          </w:tcPr>
          <w:p>
            <w:pPr>
              <w:spacing w:after="40"/>
            </w:pPr>
            <w:r/>
            <w:r>
              <w:rPr>
                <w:rFonts w:ascii="Aptos" w:hAnsi="Aptos"/>
                <w:b w:val="0"/>
                <w:sz w:val="17"/>
              </w:rPr>
              <w:t>Generative-AI correspondence platform for delivery/customer action, as described by user.</w:t>
            </w:r>
          </w:p>
        </w:tc>
      </w:tr>
    </w:tbl>
    <w:p>
      <w:pPr>
        <w:pStyle w:val="Heading1"/>
      </w:pPr>
      <w:r>
        <w:t>Recommended next steps</w:t>
      </w:r>
    </w:p>
    <w:p>
      <w:pPr>
        <w:pStyle w:val="ListBullet"/>
        <w:spacing w:after="40"/>
      </w:pPr>
      <w:r>
        <w:t>1. Validate internal overlap with IdeaTank owners and relevant EXL product/business leaders.</w:t>
      </w:r>
    </w:p>
    <w:p>
      <w:pPr>
        <w:pStyle w:val="ListBullet"/>
        <w:spacing w:after="40"/>
      </w:pPr>
      <w:r>
        <w:t>2. Interview 3–5 prospective users for the primary concept and confirm the pain point, current workaround and buyer.</w:t>
      </w:r>
    </w:p>
    <w:p>
      <w:pPr>
        <w:pStyle w:val="ListBullet"/>
        <w:spacing w:after="40"/>
      </w:pPr>
      <w:r>
        <w:t>3. Choose one bounded POC with synthetic data and explicit success metrics.</w:t>
      </w:r>
    </w:p>
    <w:p>
      <w:pPr>
        <w:pStyle w:val="ListBullet"/>
        <w:spacing w:after="40"/>
      </w:pPr>
      <w:r>
        <w:t>4. Avoid unsupported market-size, revenue or compliance claims; label assumptions clearly.</w:t>
      </w:r>
    </w:p>
    <w:p>
      <w:pPr>
        <w:pStyle w:val="ListBullet"/>
        <w:spacing w:after="40"/>
      </w:pPr>
      <w:r>
        <w:t>5. For Vela, keep the first POC solar-first, software-only and read-only; no live grid/hardware integration or autonomous control.</w:t>
      </w:r>
    </w:p>
    <w:p>
      <w:pPr>
        <w:pStyle w:val="ListBullet"/>
        <w:spacing w:after="40"/>
      </w:pPr>
      <w:r>
        <w:t>6. Select one primary submission rather than pitching overlapping ideas as separate products.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7A"/>
        <w:sz w:val="15"/>
      </w:rPr>
      <w:t>EXL IDEATANK • CONCEPT DRAFT • 28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