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Atlas — AI Deal &amp; Proposal Intelligence</w:t>
      </w:r>
    </w:p>
    <w:p>
      <w:pPr>
        <w:jc w:val="center"/>
      </w:pPr>
      <w:r>
        <w:t>From Business Opportunity to Evidence-Backed Decisions</w:t>
      </w:r>
    </w:p>
    <w:p>
      <w:pPr>
        <w:pStyle w:val="Heading1"/>
      </w:pPr>
      <w:r>
        <w:t>Project Atlas — AI Deal &amp; Proposal Intelligence</w:t>
      </w:r>
    </w:p>
    <w:p>
      <w:r>
        <w:rPr>
          <w:b/>
          <w:color w:val="087E8B"/>
          <w:sz w:val="24"/>
        </w:rPr>
        <w:t>From Business Opportunity to Evidence-Backed Decisions</w:t>
      </w:r>
    </w:p>
    <w:p>
      <w:r>
        <w:rPr>
          <w:b/>
        </w:rPr>
        <w:t xml:space="preserve">Status: </w:t>
      </w:r>
      <w:r>
        <w:t>Primary candidate discussed; initial MVP should be narrowed to Commercial Risk Validator.</w:t>
      </w:r>
    </w:p>
    <w:p>
      <w:r>
        <w:rPr>
          <w:b/>
        </w:rPr>
        <w:t xml:space="preserve">Category: </w:t>
      </w:r>
      <w:r>
        <w:t>Enterprise AI | Consulting Proposals | Financial &amp; Delivery Assurance</w:t>
      </w:r>
    </w:p>
    <w:p>
      <w:pPr>
        <w:pStyle w:val="Heading2"/>
      </w:pPr>
      <w:r>
        <w:t>Problem Statement</w:t>
      </w:r>
    </w:p>
    <w:p>
      <w:r>
        <w:t>High-value consulting and transformation proposals combine RFP requirements, financial models, delivery plans and supporting evidence. Manual review can miss inconsistent ROI assumptions, unsupported benefit claims, uncosted scope or unrealistic dependencies.</w:t>
      </w:r>
    </w:p>
    <w:p>
      <w:pPr>
        <w:pStyle w:val="Heading2"/>
      </w:pPr>
      <w:r>
        <w:t>Proposed Solution</w:t>
      </w:r>
    </w:p>
    <w:p>
      <w:r>
        <w:t>Atlas analyses a proposal as a connected business case: maps requirements to proposed responses, validates calculations, checks delivery assumptions and produces an evidence-linked review report for human approval.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RFP and document requirement extraction with source references</w:t>
      </w:r>
    </w:p>
    <w:p>
      <w:pPr>
        <w:pStyle w:val="ListBullet"/>
        <w:spacing w:after="40"/>
      </w:pPr>
      <w:r>
        <w:t>Deterministic checks for ROI, payback, savings, costs and arithmetic consistency</w:t>
      </w:r>
    </w:p>
    <w:p>
      <w:pPr>
        <w:pStyle w:val="ListBullet"/>
        <w:spacing w:after="40"/>
      </w:pPr>
      <w:r>
        <w:t>Cross-document detection of unsupported claims, missing requirements and conflicting figures</w:t>
      </w:r>
    </w:p>
    <w:p>
      <w:pPr>
        <w:pStyle w:val="ListBullet"/>
        <w:spacing w:after="40"/>
      </w:pPr>
      <w:r>
        <w:t>Delivery feasibility checks for dependencies, milestones, staffing and scope assumptions</w:t>
      </w:r>
    </w:p>
    <w:p>
      <w:pPr>
        <w:pStyle w:val="ListBullet"/>
        <w:spacing w:after="40"/>
      </w:pPr>
      <w:r>
        <w:t>Prioritised review dashboard with evidence, rationale and recommended human checks</w:t>
      </w:r>
    </w:p>
    <w:p>
      <w:pPr>
        <w:pStyle w:val="Heading2"/>
      </w:pPr>
      <w:r>
        <w:t>POC Proposal</w:t>
      </w:r>
    </w:p>
    <w:p>
      <w:r>
        <w:t>Use a fictional transformation RFP and synthetic financial data. Seed three defects—overstated savings, a mismatched total and an impossible dependency. Show extraction, recalculation, issue detection and a review report.</w:t>
      </w:r>
    </w:p>
    <w:p>
      <w:pPr>
        <w:pStyle w:val="Heading2"/>
      </w:pPr>
      <w:r>
        <w:t>Expected Business Value</w:t>
      </w:r>
    </w:p>
    <w:p>
      <w:r>
        <w:t>Potential reduction in manual validation effort, stronger proposal consistency and earlier visibility of commercial or delivery risks. Measure against a documented baseline rather than promising savings upfront.</w:t>
      </w:r>
    </w:p>
    <w:p>
      <w:pPr>
        <w:pStyle w:val="Heading2"/>
      </w:pPr>
      <w:r>
        <w:t>Potential Revenue Model</w:t>
      </w:r>
    </w:p>
    <w:p>
      <w:r>
        <w:t>Potential annual enterprise subscription, implementation/integration fees and managed proposal-validation services. Pricing and willingness to pay require buyer validation.</w:t>
      </w:r>
    </w:p>
    <w:p>
      <w:pPr>
        <w:pStyle w:val="Heading2"/>
      </w:pPr>
      <w:r>
        <w:t>Indicative Technology Stack</w:t>
      </w:r>
    </w:p>
    <w:p>
      <w:r>
        <w:t>Python, Pandas, FastAPI, PostgreSQL or file-based storage, Streamlit; optional approved LLM/RAG for document extraction, with deterministic calculation checks.</w:t>
      </w:r>
    </w:p>
    <w:p>
      <w:pPr>
        <w:pStyle w:val="Heading2"/>
      </w:pPr>
      <w:r>
        <w:t>Risks and Validation Required</w:t>
      </w:r>
    </w:p>
    <w:p>
      <w:r>
        <w:t>Competitive proposal and document intelligence market; possible overlap with existing EXL capabilities; financial assumptions and source evidence must be traceable.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