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Polaris — AI Outcome Assurance</w:t>
      </w:r>
    </w:p>
    <w:p>
      <w:pPr>
        <w:jc w:val="center"/>
      </w:pPr>
      <w:r>
        <w:t>From AI Activity to Verified Business Value</w:t>
      </w:r>
    </w:p>
    <w:p>
      <w:pPr>
        <w:pStyle w:val="Heading1"/>
      </w:pPr>
      <w:r>
        <w:t>Project Polaris — AI Outcome Assurance</w:t>
      </w:r>
    </w:p>
    <w:p>
      <w:r>
        <w:rPr>
          <w:b/>
          <w:color w:val="087E8B"/>
          <w:sz w:val="24"/>
        </w:rPr>
        <w:t>From AI Activity to Verified Business Value</w:t>
      </w:r>
    </w:p>
    <w:p>
      <w:r>
        <w:rPr>
          <w:b/>
        </w:rPr>
        <w:t xml:space="preserve">Status: </w:t>
      </w:r>
      <w:r>
        <w:t>Locked as a working concept by user; validation still required.</w:t>
      </w:r>
    </w:p>
    <w:p>
      <w:r>
        <w:rPr>
          <w:b/>
        </w:rPr>
        <w:t xml:space="preserve">Category: </w:t>
      </w:r>
      <w:r>
        <w:t>Enterprise AI | AI Value Realisation | Performance Intelligence</w:t>
      </w:r>
    </w:p>
    <w:p>
      <w:pPr>
        <w:pStyle w:val="Heading2"/>
      </w:pPr>
      <w:r>
        <w:t>Problem Statement</w:t>
      </w:r>
    </w:p>
    <w:p>
      <w:r>
        <w:t>Enterprises can track AI usage, quality and costs but may struggle to establish whether deployed AI initiatives improve business KPIs or deliver expected financial benefit.</w:t>
      </w:r>
    </w:p>
    <w:p>
      <w:pPr>
        <w:pStyle w:val="Heading2"/>
      </w:pPr>
      <w:r>
        <w:t>Proposed Solution</w:t>
      </w:r>
    </w:p>
    <w:p>
      <w:r>
        <w:t>Polaris links AI-enabled workflow events to agreed operational and financial measures, distinguishes estimated benefits from realised outcomes, and highlights underperforming initiatives.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Define objectives, KPI baselines and measurement windows</w:t>
      </w:r>
    </w:p>
    <w:p>
      <w:pPr>
        <w:pStyle w:val="ListBullet"/>
        <w:spacing w:after="40"/>
      </w:pPr>
      <w:r>
        <w:t>Connect recommendations, human decisions and workflow outcomes</w:t>
      </w:r>
    </w:p>
    <w:p>
      <w:pPr>
        <w:pStyle w:val="ListBullet"/>
        <w:spacing w:after="40"/>
      </w:pPr>
      <w:r>
        <w:t>Compare observed results with baselines and disclose assumptions</w:t>
      </w:r>
    </w:p>
    <w:p>
      <w:pPr>
        <w:pStyle w:val="ListBullet"/>
        <w:spacing w:after="40"/>
      </w:pPr>
      <w:r>
        <w:t>Track estimated versus verified benefits with an audit trail</w:t>
      </w:r>
    </w:p>
    <w:p>
      <w:pPr>
        <w:pStyle w:val="ListBullet"/>
        <w:spacing w:after="40"/>
      </w:pPr>
      <w:r>
        <w:t>Flag deviations for investigation and review</w:t>
      </w:r>
    </w:p>
    <w:p>
      <w:pPr>
        <w:pStyle w:val="Heading2"/>
      </w:pPr>
      <w:r>
        <w:t>POC Proposal</w:t>
      </w:r>
    </w:p>
    <w:p>
      <w:r>
        <w:t>Use a synthetic customer-service or claims workflow. Compare a baseline with simulated AI-assisted handling on cycle time, error rate and cost per case. Label all simulated results clearly.</w:t>
      </w:r>
    </w:p>
    <w:p>
      <w:pPr>
        <w:pStyle w:val="Heading2"/>
      </w:pPr>
      <w:r>
        <w:t>Expected Business Value</w:t>
      </w:r>
    </w:p>
    <w:p>
      <w:r>
        <w:t>Potentially improve accountability for AI investments and help leaders decide where to scale, modify or retire AI initiatives.</w:t>
      </w:r>
    </w:p>
    <w:p>
      <w:pPr>
        <w:pStyle w:val="Heading2"/>
      </w:pPr>
      <w:r>
        <w:t>Potential Revenue Model</w:t>
      </w:r>
    </w:p>
    <w:p>
      <w:r>
        <w:t>Potential enterprise subscription, integration services and ongoing AI value-assurance services.</w:t>
      </w:r>
    </w:p>
    <w:p>
      <w:pPr>
        <w:pStyle w:val="Heading2"/>
      </w:pPr>
      <w:r>
        <w:t>Indicative Technology Stack</w:t>
      </w:r>
    </w:p>
    <w:p>
      <w:r>
        <w:t>Python, SQL, Pandas, FastAPI, Streamlit/React, KPI rules and optional LLM summaries; integrations later after approval.</w:t>
      </w:r>
    </w:p>
    <w:p>
      <w:pPr>
        <w:pStyle w:val="Heading2"/>
      </w:pPr>
      <w:r>
        <w:t>Risks and Validation Required</w:t>
      </w:r>
    </w:p>
    <w:p>
      <w:r>
        <w:t>Attribution is difficult; avoid claiming causality without appropriate study design. Check overlap with EXL AI governance and decision intelligence capabilities.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