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DataGuard AI — Data Change Impact Intelligence</w:t>
      </w:r>
    </w:p>
    <w:p>
      <w:pPr>
        <w:jc w:val="center"/>
      </w:pPr>
      <w:r>
        <w:t>Know What a Data Change Could Break</w:t>
      </w:r>
    </w:p>
    <w:p>
      <w:pPr>
        <w:pStyle w:val="Heading1"/>
      </w:pPr>
      <w:r>
        <w:t>DataGuard AI — Data Change Impact Intelligence</w:t>
      </w:r>
    </w:p>
    <w:p>
      <w:r>
        <w:rPr>
          <w:b/>
          <w:color w:val="087E8B"/>
          <w:sz w:val="24"/>
        </w:rPr>
        <w:t>Know What a Data Change Could Break</w:t>
      </w:r>
    </w:p>
    <w:p>
      <w:r>
        <w:rPr>
          <w:b/>
        </w:rPr>
        <w:t xml:space="preserve">Status: </w:t>
      </w:r>
      <w:r>
        <w:t>Exploratory concept.</w:t>
      </w:r>
    </w:p>
    <w:p>
      <w:r>
        <w:rPr>
          <w:b/>
        </w:rPr>
        <w:t xml:space="preserve">Category: </w:t>
      </w:r>
      <w:r>
        <w:t>Data Platforms | Governance | Reliability</w:t>
      </w:r>
    </w:p>
    <w:p>
      <w:pPr>
        <w:pStyle w:val="Heading2"/>
      </w:pPr>
      <w:r>
        <w:t>Problem Statement</w:t>
      </w:r>
    </w:p>
    <w:p>
      <w:r>
        <w:t>Schema, definition or upstream pipeline changes can break downstream reports, models and applications; affected assets and owners may be difficult to identify quickly.</w:t>
      </w:r>
    </w:p>
    <w:p>
      <w:pPr>
        <w:pStyle w:val="Heading2"/>
      </w:pPr>
      <w:r>
        <w:t>Proposed Solution</w:t>
      </w:r>
    </w:p>
    <w:p>
      <w:r>
        <w:t>Combine lineage, data contracts and change detection to explain downstream impact, rank affected assets and recommend tests or remediation.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Map source fields to pipelines, reports and models</w:t>
      </w:r>
    </w:p>
    <w:p>
      <w:pPr>
        <w:pStyle w:val="ListBullet"/>
        <w:spacing w:after="40"/>
      </w:pPr>
      <w:r>
        <w:t>Detect schema and semantic changes against contracts</w:t>
      </w:r>
    </w:p>
    <w:p>
      <w:pPr>
        <w:pStyle w:val="ListBullet"/>
        <w:spacing w:after="40"/>
      </w:pPr>
      <w:r>
        <w:t>Rank affected assets by criticality</w:t>
      </w:r>
    </w:p>
    <w:p>
      <w:pPr>
        <w:pStyle w:val="ListBullet"/>
        <w:spacing w:after="40"/>
      </w:pPr>
      <w:r>
        <w:t>Recommend regression tests and route issues</w:t>
      </w:r>
    </w:p>
    <w:p>
      <w:pPr>
        <w:pStyle w:val="ListBullet"/>
        <w:spacing w:after="40"/>
      </w:pPr>
      <w:r>
        <w:t>Maintain evidence of change and resolution</w:t>
      </w:r>
    </w:p>
    <w:p>
      <w:pPr>
        <w:pStyle w:val="Heading2"/>
      </w:pPr>
      <w:r>
        <w:t>POC Proposal</w:t>
      </w:r>
    </w:p>
    <w:p>
      <w:r>
        <w:t>Synthetic pipeline with dependent tables, dashboards and a model; change a source field and show impacted assets and suggested tests.</w:t>
      </w:r>
    </w:p>
    <w:p>
      <w:pPr>
        <w:pStyle w:val="Heading2"/>
      </w:pPr>
      <w:r>
        <w:t>Expected Business Value</w:t>
      </w:r>
    </w:p>
    <w:p>
      <w:r>
        <w:t>Potentially reduce incident diagnosis time and downstream breakages.</w:t>
      </w:r>
    </w:p>
    <w:p>
      <w:pPr>
        <w:pStyle w:val="Heading2"/>
      </w:pPr>
      <w:r>
        <w:t>Potential Revenue Model</w:t>
      </w:r>
    </w:p>
    <w:p>
      <w:r>
        <w:t>Annual subscription, integration and managed data reliability services.</w:t>
      </w:r>
    </w:p>
    <w:p>
      <w:pPr>
        <w:pStyle w:val="Heading2"/>
      </w:pPr>
      <w:r>
        <w:t>Indicative Technology Stack</w:t>
      </w:r>
    </w:p>
    <w:p>
      <w:r>
        <w:t>Python, SQL, metadata/lineage graph, FastAPI and a dashboard.</w:t>
      </w:r>
    </w:p>
    <w:p>
      <w:pPr>
        <w:pStyle w:val="Heading2"/>
      </w:pPr>
      <w:r>
        <w:t>Risks and Validation Required</w:t>
      </w:r>
    </w:p>
    <w:p>
      <w:r>
        <w:t>Overlap with metadata catalogs, observability tools and internal Meta Workbench-type initiatives.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