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87E8B"/>
          <w:sz w:val="24"/>
        </w:rPr>
        <w:t>EXL IDEATANK</w:t>
        <w:br/>
      </w:r>
      <w:r>
        <w:rPr>
          <w:b/>
          <w:color w:val="12304A"/>
          <w:sz w:val="44"/>
        </w:rPr>
        <w:t>DataBridge AI — AI Data Readiness &amp; Remediation</w:t>
      </w:r>
    </w:p>
    <w:p>
      <w:pPr>
        <w:jc w:val="center"/>
      </w:pPr>
      <w:r>
        <w:t>Resolve the Data Issues Blocking AI Delivery</w:t>
      </w:r>
    </w:p>
    <w:p>
      <w:pPr>
        <w:pStyle w:val="Heading1"/>
      </w:pPr>
      <w:r>
        <w:t>DataBridge AI — AI Data Readiness &amp; Remediation</w:t>
      </w:r>
    </w:p>
    <w:p>
      <w:r>
        <w:rPr>
          <w:b/>
          <w:color w:val="087E8B"/>
          <w:sz w:val="24"/>
        </w:rPr>
        <w:t>Resolve the Data Issues Blocking AI Delivery</w:t>
      </w:r>
    </w:p>
    <w:p>
      <w:r>
        <w:rPr>
          <w:b/>
        </w:rPr>
        <w:t xml:space="preserve">Status: </w:t>
      </w:r>
      <w:r>
        <w:t>Exploratory concept.</w:t>
      </w:r>
    </w:p>
    <w:p>
      <w:r>
        <w:rPr>
          <w:b/>
        </w:rPr>
        <w:t xml:space="preserve">Category: </w:t>
      </w:r>
      <w:r>
        <w:t>Data Engineering | AI Readiness</w:t>
      </w:r>
    </w:p>
    <w:p>
      <w:pPr>
        <w:pStyle w:val="Heading2"/>
      </w:pPr>
      <w:r>
        <w:t>Problem Statement</w:t>
      </w:r>
    </w:p>
    <w:p>
      <w:r>
        <w:t>Missing fields, inconsistent identifiers and poor-quality source data can delay AI initiatives; generic quality scores may not explain which defects block a use case.</w:t>
      </w:r>
    </w:p>
    <w:p>
      <w:pPr>
        <w:pStyle w:val="Heading2"/>
      </w:pPr>
      <w:r>
        <w:t>Proposed Solution</w:t>
      </w:r>
    </w:p>
    <w:p>
      <w:r>
        <w:t>Assess data against the needs of a selected AI use case, prioritise defects by their impact, recommend remediation and measure readiness after fixes.</w:t>
      </w:r>
    </w:p>
    <w:p>
      <w:pPr>
        <w:pStyle w:val="Heading2"/>
      </w:pPr>
      <w:r>
        <w:t>Core Capabilities</w:t>
      </w:r>
    </w:p>
    <w:p>
      <w:pPr>
        <w:pStyle w:val="ListBullet"/>
        <w:spacing w:after="40"/>
      </w:pPr>
      <w:r>
        <w:t>Map use-case requirements to required attributes</w:t>
      </w:r>
    </w:p>
    <w:p>
      <w:pPr>
        <w:pStyle w:val="ListBullet"/>
        <w:spacing w:after="40"/>
      </w:pPr>
      <w:r>
        <w:t>Profile completeness, consistency, validity and duplication</w:t>
      </w:r>
    </w:p>
    <w:p>
      <w:pPr>
        <w:pStyle w:val="ListBullet"/>
        <w:spacing w:after="40"/>
      </w:pPr>
      <w:r>
        <w:t>Rank defects by impact on the target workflow</w:t>
      </w:r>
    </w:p>
    <w:p>
      <w:pPr>
        <w:pStyle w:val="ListBullet"/>
        <w:spacing w:after="40"/>
      </w:pPr>
      <w:r>
        <w:t>Recommend approved remediation with audit trails</w:t>
      </w:r>
    </w:p>
    <w:p>
      <w:pPr>
        <w:pStyle w:val="ListBullet"/>
        <w:spacing w:after="40"/>
      </w:pPr>
      <w:r>
        <w:t>Generate use-case-specific readiness score</w:t>
      </w:r>
    </w:p>
    <w:p>
      <w:pPr>
        <w:pStyle w:val="Heading2"/>
      </w:pPr>
      <w:r>
        <w:t>POC Proposal</w:t>
      </w:r>
    </w:p>
    <w:p>
      <w:r>
        <w:t>Synthetic dataset with deliberate defects; map requirements, prioritise issues and show readiness before and after approved fixes.</w:t>
      </w:r>
    </w:p>
    <w:p>
      <w:pPr>
        <w:pStyle w:val="Heading2"/>
      </w:pPr>
      <w:r>
        <w:t>Expected Business Value</w:t>
      </w:r>
    </w:p>
    <w:p>
      <w:r>
        <w:t>Potentially reduce manual remediation and accelerate AI preparation.</w:t>
      </w:r>
    </w:p>
    <w:p>
      <w:pPr>
        <w:pStyle w:val="Heading2"/>
      </w:pPr>
      <w:r>
        <w:t>Potential Revenue Model</w:t>
      </w:r>
    </w:p>
    <w:p>
      <w:r>
        <w:t>Subscription, integration and data engineering services.</w:t>
      </w:r>
    </w:p>
    <w:p>
      <w:pPr>
        <w:pStyle w:val="Heading2"/>
      </w:pPr>
      <w:r>
        <w:t>Indicative Technology Stack</w:t>
      </w:r>
    </w:p>
    <w:p>
      <w:r>
        <w:t>Python, Pandas, Great Expectations or equivalent checks, SQL and dashboard.</w:t>
      </w:r>
    </w:p>
    <w:p>
      <w:pPr>
        <w:pStyle w:val="Heading2"/>
      </w:pPr>
      <w:r>
        <w:t>Risks and Validation Required</w:t>
      </w:r>
    </w:p>
    <w:p>
      <w:r>
        <w:t>Overlap with data services, metadata tools and DataGuard; keep boundaries distinct.</w:t>
      </w:r>
    </w:p>
    <w:p>
      <w:r>
        <w:t>All revenue, market and differentiation statements are hypotheses until validated. Confirm internal EXL overlap and relevant approvals before submission.</w:t>
      </w:r>
    </w:p>
    <w:sectPr w:rsidR="00FC693F" w:rsidRPr="0006063C" w:rsidSect="00034616">
      <w:footerReference w:type="default" r:id="rId9"/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07A"/>
        <w:sz w:val="15"/>
      </w:rPr>
      <w:t>EXL IDEATANK • CONCEPT DRAFT • 28 OCT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746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230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87E8B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2304A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