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NOVA — Multi-Cloud Workload Value Optimizer</w:t>
      </w:r>
    </w:p>
    <w:p>
      <w:pPr>
        <w:jc w:val="center"/>
      </w:pPr>
      <w:r>
        <w:t>Optimize Workload Placement for Cost, Performance and Business Goals</w:t>
      </w:r>
    </w:p>
    <w:p>
      <w:pPr>
        <w:pStyle w:val="Heading1"/>
      </w:pPr>
      <w:r>
        <w:t>NOVA — Multi-Cloud Workload Value Optimizer</w:t>
      </w:r>
    </w:p>
    <w:p>
      <w:r>
        <w:rPr>
          <w:b/>
          <w:color w:val="087E8B"/>
          <w:sz w:val="24"/>
        </w:rPr>
        <w:t>Optimize Workload Placement for Cost, Performance and Business Goals</w:t>
      </w:r>
    </w:p>
    <w:p>
      <w:r>
        <w:rPr>
          <w:b/>
        </w:rPr>
        <w:t xml:space="preserve">Status: </w:t>
      </w:r>
      <w:r>
        <w:t>Drafted as a candidate; user noted existing Cloud MOF may overlap.</w:t>
      </w:r>
    </w:p>
    <w:p>
      <w:r>
        <w:rPr>
          <w:b/>
        </w:rPr>
        <w:t xml:space="preserve">Category: </w:t>
      </w:r>
      <w:r>
        <w:t>Cloud FinOps | Enterprise Platforms</w:t>
      </w:r>
    </w:p>
    <w:p>
      <w:pPr>
        <w:pStyle w:val="Heading2"/>
      </w:pPr>
      <w:r>
        <w:t>Problem Statement</w:t>
      </w:r>
    </w:p>
    <w:p>
      <w:r>
        <w:t>Multi-cloud enterprises can have fragmented cost visibility and limited linkage between infrastructure decisions and business-service requirements. The cheapest option may not meet latency, resilience or compliance needs.</w:t>
      </w:r>
    </w:p>
    <w:p>
      <w:pPr>
        <w:pStyle w:val="Heading2"/>
      </w:pPr>
      <w:r>
        <w:t>Proposed Solution</w:t>
      </w:r>
    </w:p>
    <w:p>
      <w:r>
        <w:t>Normalize workload and cost data, map workloads to business constraints and compare feasible placement/optimization scenarios with transparent trade-offs.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Unified workload and cost view</w:t>
      </w:r>
    </w:p>
    <w:p>
      <w:pPr>
        <w:pStyle w:val="ListBullet"/>
        <w:spacing w:after="40"/>
      </w:pPr>
      <w:r>
        <w:t>Map workloads to service criticality and constraints</w:t>
      </w:r>
    </w:p>
    <w:p>
      <w:pPr>
        <w:pStyle w:val="ListBullet"/>
        <w:spacing w:after="40"/>
      </w:pPr>
      <w:r>
        <w:t>Compare cost, performance, resilience and compliance</w:t>
      </w:r>
    </w:p>
    <w:p>
      <w:pPr>
        <w:pStyle w:val="ListBullet"/>
        <w:spacing w:after="40"/>
      </w:pPr>
      <w:r>
        <w:t>Recommend rightsizing, scheduling or placement options</w:t>
      </w:r>
    </w:p>
    <w:p>
      <w:pPr>
        <w:pStyle w:val="ListBullet"/>
        <w:spacing w:after="40"/>
      </w:pPr>
      <w:r>
        <w:t>Track approved changes against baseline</w:t>
      </w:r>
    </w:p>
    <w:p>
      <w:pPr>
        <w:pStyle w:val="Heading2"/>
      </w:pPr>
      <w:r>
        <w:t>POC Proposal</w:t>
      </w:r>
    </w:p>
    <w:p>
      <w:r>
        <w:t>Synthetic multi-cloud billing and workload data; compare candidate placements, reject constraint-violating options and display an explainable recommendation.</w:t>
      </w:r>
    </w:p>
    <w:p>
      <w:pPr>
        <w:pStyle w:val="Heading2"/>
      </w:pPr>
      <w:r>
        <w:t>Expected Business Value</w:t>
      </w:r>
    </w:p>
    <w:p>
      <w:r>
        <w:t>Potentially improve cost visibility and help teams find optimization opportunities without ignoring service requirements.</w:t>
      </w:r>
    </w:p>
    <w:p>
      <w:pPr>
        <w:pStyle w:val="Heading2"/>
      </w:pPr>
      <w:r>
        <w:t>Potential Revenue Model</w:t>
      </w:r>
    </w:p>
    <w:p>
      <w:r>
        <w:t>Enterprise subscription, cloud-data integration and managed optimization services.</w:t>
      </w:r>
    </w:p>
    <w:p>
      <w:pPr>
        <w:pStyle w:val="Heading2"/>
      </w:pPr>
      <w:r>
        <w:t>Indicative Technology Stack</w:t>
      </w:r>
    </w:p>
    <w:p>
      <w:r>
        <w:t>Python, Pandas, cloud billing exports, scenario engine, FastAPI and dashboard.</w:t>
      </w:r>
    </w:p>
    <w:p>
      <w:pPr>
        <w:pStyle w:val="Heading2"/>
      </w:pPr>
      <w:r>
        <w:t>Risks and Validation Required</w:t>
      </w:r>
    </w:p>
    <w:p>
      <w:r>
        <w:t>Explicit overlap risk with Cloud MOF and existing FinOps products; validate internal differentiation before submission.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