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Project Midas — Deal Intelligence for Investment Banking</w:t>
      </w:r>
    </w:p>
    <w:p>
      <w:pPr>
        <w:jc w:val="center"/>
      </w:pPr>
      <w:r>
        <w:t>Turn Deal Documents into Structured, Evidence-Backed Analysis</w:t>
      </w:r>
    </w:p>
    <w:p>
      <w:pPr>
        <w:pStyle w:val="Heading1"/>
      </w:pPr>
      <w:r>
        <w:t>Project Midas — Deal Intelligence for Investment Banking</w:t>
      </w:r>
    </w:p>
    <w:p>
      <w:r>
        <w:rPr>
          <w:b/>
          <w:color w:val="087E8B"/>
          <w:sz w:val="24"/>
        </w:rPr>
        <w:t>Turn Deal Documents into Structured, Evidence-Backed Analysis</w:t>
      </w:r>
    </w:p>
    <w:p>
      <w:r>
        <w:rPr>
          <w:b/>
        </w:rPr>
        <w:t xml:space="preserve">Status: </w:t>
      </w:r>
      <w:r>
        <w:t>Early idea; user said investment banking domain familiarity is limited.</w:t>
      </w:r>
    </w:p>
    <w:p>
      <w:r>
        <w:rPr>
          <w:b/>
        </w:rPr>
        <w:t xml:space="preserve">Category: </w:t>
      </w:r>
      <w:r>
        <w:t>Investment Banking | Deal Analytics</w:t>
      </w:r>
    </w:p>
    <w:p>
      <w:pPr>
        <w:pStyle w:val="Heading2"/>
      </w:pPr>
      <w:r>
        <w:t>Problem Statement</w:t>
      </w:r>
    </w:p>
    <w:p>
      <w:r>
        <w:t>Deal teams review large volumes of filings, presentations and financial information under time pressure.</w:t>
      </w:r>
    </w:p>
    <w:p>
      <w:pPr>
        <w:pStyle w:val="Heading2"/>
      </w:pPr>
      <w:r>
        <w:t>Proposed Solution</w:t>
      </w:r>
    </w:p>
    <w:p>
      <w:r>
        <w:t>A constrained research assistant that extracts key deal facts, compares assumptions and produces traceable summaries for analyst review.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Document extraction and structured deal facts</w:t>
      </w:r>
    </w:p>
    <w:p>
      <w:pPr>
        <w:pStyle w:val="ListBullet"/>
        <w:spacing w:after="40"/>
      </w:pPr>
      <w:r>
        <w:t>Source-linked summaries</w:t>
      </w:r>
    </w:p>
    <w:p>
      <w:pPr>
        <w:pStyle w:val="ListBullet"/>
        <w:spacing w:after="40"/>
      </w:pPr>
      <w:r>
        <w:t>Comparable-company/transaction input organisation where approved data exists</w:t>
      </w:r>
    </w:p>
    <w:p>
      <w:pPr>
        <w:pStyle w:val="ListBullet"/>
        <w:spacing w:after="40"/>
      </w:pPr>
      <w:r>
        <w:t>Assumption and inconsistency flags</w:t>
      </w:r>
    </w:p>
    <w:p>
      <w:pPr>
        <w:pStyle w:val="ListBullet"/>
        <w:spacing w:after="40"/>
      </w:pPr>
      <w:r>
        <w:t>Analyst review workflow</w:t>
      </w:r>
    </w:p>
    <w:p>
      <w:pPr>
        <w:pStyle w:val="Heading2"/>
      </w:pPr>
      <w:r>
        <w:t>POC Proposal</w:t>
      </w:r>
    </w:p>
    <w:p>
      <w:r>
        <w:t>Synthetic deal pack with fabricated financial statements and known inconsistencies; produce source-linked summary and checks.</w:t>
      </w:r>
    </w:p>
    <w:p>
      <w:pPr>
        <w:pStyle w:val="Heading2"/>
      </w:pPr>
      <w:r>
        <w:t>Expected Business Value</w:t>
      </w:r>
    </w:p>
    <w:p>
      <w:r>
        <w:t>Potentially reduce document triage effort; not a substitute for analyst judgement or regulated advice.</w:t>
      </w:r>
    </w:p>
    <w:p>
      <w:pPr>
        <w:pStyle w:val="Heading2"/>
      </w:pPr>
      <w:r>
        <w:t>Potential Revenue Model</w:t>
      </w:r>
    </w:p>
    <w:p>
      <w:r>
        <w:t>Enterprise subscription and data integration, requiring market validation.</w:t>
      </w:r>
    </w:p>
    <w:p>
      <w:pPr>
        <w:pStyle w:val="Heading2"/>
      </w:pPr>
      <w:r>
        <w:t>Indicative Technology Stack</w:t>
      </w:r>
    </w:p>
    <w:p>
      <w:r>
        <w:t>Python, document parsing, SQL, retrieval and dashboard.</w:t>
      </w:r>
    </w:p>
    <w:p>
      <w:pPr>
        <w:pStyle w:val="Heading2"/>
      </w:pPr>
      <w:r>
        <w:t>Risks and Validation Required</w:t>
      </w:r>
    </w:p>
    <w:p>
      <w:r>
        <w:t>Requires domain expertise, licensed data and validation; do not claim live market-data capability without access.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