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7E8B"/>
          <w:sz w:val="24"/>
        </w:rPr>
        <w:t>EXL IDEATANK</w:t>
        <w:br/>
      </w:r>
      <w:r>
        <w:rPr>
          <w:b/>
          <w:color w:val="12304A"/>
          <w:sz w:val="48"/>
        </w:rPr>
        <w:t>PROJECT MARINER</w:t>
      </w:r>
    </w:p>
    <w:p>
      <w:pPr>
        <w:jc w:val="center"/>
      </w:pPr>
      <w:r>
        <w:rPr>
          <w:i/>
        </w:rPr>
        <w:t>Power-Sector Cyber Risk Intelligence for Insurance Underwriting</w:t>
      </w:r>
    </w:p>
    <w:p>
      <w:pPr>
        <w:jc w:val="center"/>
      </w:pPr>
      <w:r>
        <w:t>Concept proposal for internal evaluation • 29 October 2026</w:t>
      </w:r>
    </w:p>
    <w:p>
      <w:pPr>
        <w:pStyle w:val="Heading1"/>
      </w:pPr>
      <w:r>
        <w:t>1. Executive summary</w:t>
      </w:r>
    </w:p>
    <w:p>
      <w:pPr>
        <w:pStyle w:val="Heading2"/>
      </w:pPr>
    </w:p>
    <w:p>
      <w:r>
        <w:t>Project Mariner is a proposed decision-support product for insurers and brokers evaluating cyber and operational risk associated with power-sector organisations and renewable-energy portfolios. It combines authorised insured disclosures, asset/control evidence, public or licensed threat intelligence and exposure context into a traceable underwriting dossier. It does not claim to know a facility’s vulnerabilities from public data alone and does not replace specialist engineering surveys.</w:t>
      </w:r>
    </w:p>
    <w:p>
      <w:pPr>
        <w:pStyle w:val="Heading1"/>
      </w:pPr>
      <w:r>
        <w:t>2. Insurance problem</w:t>
      </w:r>
    </w:p>
    <w:p>
      <w:pPr>
        <w:pStyle w:val="Heading2"/>
      </w:pPr>
    </w:p>
    <w:p>
      <w:r>
        <w:t>Power-sector cyber insurance risk can span business interruption, physical damage, third-party liability, incident response, data loss, supply-chain dependencies and recovery failure. Insurers may receive uneven questionnaires and limited visibility into OT controls, asset criticality and recovery readiness. Public information can help screen exposure but cannot establish the control posture of a specific site.</w:t>
      </w:r>
    </w:p>
    <w:p>
      <w:pPr>
        <w:pStyle w:val="Heading1"/>
      </w:pPr>
      <w:r>
        <w:t>3. Proposed solution</w:t>
      </w:r>
    </w:p>
    <w:p>
      <w:pPr>
        <w:pStyle w:val="Heading2"/>
      </w:pPr>
    </w:p>
    <w:p>
      <w:r>
        <w:t>Mariner identifies the insured entity and asset scope, collects approved disclosures and evidence, enriches them with legitimate public/paid threat and company information, maps risk scenarios to potential loss pathways, records uncertainty, and produces an underwriter-reviewed summary. It supports—not automates—the underwriting decision.</w:t>
      </w:r>
    </w:p>
    <w:p>
      <w:pPr>
        <w:pStyle w:val="Heading1"/>
      </w:pPr>
      <w:r>
        <w:t>4. Target users</w:t>
      </w:r>
    </w:p>
    <w:p>
      <w:pPr>
        <w:pStyle w:val="Heading2"/>
      </w:pPr>
    </w:p>
    <w:p>
      <w:pPr>
        <w:pStyle w:val="ListBullet"/>
        <w:spacing w:after="40"/>
      </w:pPr>
      <w:r>
        <w:t>Commercial insurers writing cyber, property, energy, renewable-asset or business-interruption coverage.</w:t>
      </w:r>
    </w:p>
    <w:p>
      <w:pPr>
        <w:pStyle w:val="ListBullet"/>
        <w:spacing w:after="40"/>
      </w:pPr>
      <w:r>
        <w:t>Reinsurers and specialty markets assessing portfolio accumulation and correlated power-sector exposures.</w:t>
      </w:r>
    </w:p>
    <w:p>
      <w:pPr>
        <w:pStyle w:val="ListBullet"/>
        <w:spacing w:after="40"/>
      </w:pPr>
      <w:r>
        <w:t>Insurance brokers and risk engineering teams preparing consistent submissions.</w:t>
      </w:r>
    </w:p>
    <w:p>
      <w:pPr>
        <w:pStyle w:val="ListBullet"/>
        <w:spacing w:after="40"/>
      </w:pPr>
      <w:r>
        <w:t>Utilities, independent power producers, solar/wind fleet owners and EPC/O&amp;M organisations as assessed entities or data providers.</w:t>
      </w:r>
    </w:p>
    <w:p>
      <w:pPr>
        <w:pStyle w:val="Heading1"/>
      </w:pPr>
      <w:r>
        <w:t>5. What data can be accessed, and how?</w:t>
      </w:r>
    </w:p>
    <w:tbl>
      <w:tblPr>
        <w:tblStyle w:val="TableGrid"/>
        <w:tblW w:type="auto" w:w="0"/>
        <w:tblLook w:firstColumn="1" w:firstRow="1" w:lastColumn="0" w:lastRow="0" w:noHBand="0" w:noVBand="1" w:val="04A0"/>
      </w:tblPr>
      <w:tblGrid>
        <w:gridCol w:w="3360"/>
        <w:gridCol w:w="3360"/>
        <w:gridCol w:w="3360"/>
      </w:tblGrid>
      <w:tr>
        <w:tc>
          <w:tcPr>
            <w:tcW w:type="dxa" w:w="3360"/>
            <w:shd w:fill="12304A"/>
          </w:tcPr>
          <w:p>
            <w:r>
              <w:rPr>
                <w:b/>
                <w:color w:val="FFFFFF"/>
                <w:sz w:val="17"/>
              </w:rPr>
              <w:t>Data type</w:t>
            </w:r>
          </w:p>
        </w:tc>
        <w:tc>
          <w:tcPr>
            <w:tcW w:type="dxa" w:w="3360"/>
            <w:shd w:fill="12304A"/>
          </w:tcPr>
          <w:p>
            <w:r>
              <w:rPr>
                <w:b/>
                <w:color w:val="FFFFFF"/>
                <w:sz w:val="17"/>
              </w:rPr>
              <w:t>Potential access route</w:t>
            </w:r>
          </w:p>
        </w:tc>
        <w:tc>
          <w:tcPr>
            <w:tcW w:type="dxa" w:w="3360"/>
            <w:shd w:fill="12304A"/>
          </w:tcPr>
          <w:p>
            <w:r>
              <w:rPr>
                <w:b/>
                <w:color w:val="FFFFFF"/>
                <w:sz w:val="17"/>
              </w:rPr>
              <w:t>Use and limitation</w:t>
            </w:r>
          </w:p>
        </w:tc>
      </w:tr>
      <w:tr>
        <w:tc>
          <w:tcPr>
            <w:tcW w:type="dxa" w:w="3360"/>
          </w:tcPr>
          <w:p>
            <w:pPr>
              <w:spacing w:after="40"/>
            </w:pPr>
            <w:r>
              <w:rPr>
                <w:sz w:val="16"/>
              </w:rPr>
              <w:t>Company/asset footprint</w:t>
            </w:r>
          </w:p>
        </w:tc>
        <w:tc>
          <w:tcPr>
            <w:tcW w:type="dxa" w:w="3360"/>
          </w:tcPr>
          <w:p>
            <w:pPr>
              <w:spacing w:after="40"/>
            </w:pPr>
            <w:r>
              <w:rPr>
                <w:sz w:val="16"/>
              </w:rPr>
              <w:t>Websites, annual reports, regulator filings, public permits and licensed datasets</w:t>
            </w:r>
          </w:p>
        </w:tc>
        <w:tc>
          <w:tcPr>
            <w:tcW w:type="dxa" w:w="3360"/>
          </w:tcPr>
          <w:p>
            <w:pPr>
              <w:spacing w:after="40"/>
            </w:pPr>
            <w:r>
              <w:rPr>
                <w:sz w:val="16"/>
              </w:rPr>
              <w:t>Identify disclosed assets/geographies; verify source and date.</w:t>
            </w:r>
          </w:p>
        </w:tc>
      </w:tr>
      <w:tr>
        <w:tc>
          <w:tcPr>
            <w:tcW w:type="dxa" w:w="3360"/>
            <w:shd w:fill="F1F6F8"/>
          </w:tcPr>
          <w:p>
            <w:pPr>
              <w:spacing w:after="40"/>
            </w:pPr>
            <w:r>
              <w:rPr>
                <w:sz w:val="16"/>
              </w:rPr>
              <w:t>Threat intelligence</w:t>
            </w:r>
          </w:p>
        </w:tc>
        <w:tc>
          <w:tcPr>
            <w:tcW w:type="dxa" w:w="3360"/>
            <w:shd w:fill="F1F6F8"/>
          </w:tcPr>
          <w:p>
            <w:pPr>
              <w:spacing w:after="40"/>
            </w:pPr>
            <w:r>
              <w:rPr>
                <w:sz w:val="16"/>
              </w:rPr>
              <w:t>CISA, NCSC, ENISA, CERTs, vendor advisories and licensed feeds</w:t>
            </w:r>
          </w:p>
        </w:tc>
        <w:tc>
          <w:tcPr>
            <w:tcW w:type="dxa" w:w="3360"/>
            <w:shd w:fill="F1F6F8"/>
          </w:tcPr>
          <w:p>
            <w:pPr>
              <w:spacing w:after="40"/>
            </w:pPr>
            <w:r>
              <w:rPr>
                <w:sz w:val="16"/>
              </w:rPr>
              <w:t>Map sector threats to disclosed asset/software classes; threat does not prove compromise.</w:t>
            </w:r>
          </w:p>
        </w:tc>
      </w:tr>
      <w:tr>
        <w:tc>
          <w:tcPr>
            <w:tcW w:type="dxa" w:w="3360"/>
          </w:tcPr>
          <w:p>
            <w:pPr>
              <w:spacing w:after="40"/>
            </w:pPr>
            <w:r>
              <w:rPr>
                <w:sz w:val="16"/>
              </w:rPr>
              <w:t>Vulnerability data</w:t>
            </w:r>
          </w:p>
        </w:tc>
        <w:tc>
          <w:tcPr>
            <w:tcW w:type="dxa" w:w="3360"/>
          </w:tcPr>
          <w:p>
            <w:pPr>
              <w:spacing w:after="40"/>
            </w:pPr>
            <w:r>
              <w:rPr>
                <w:sz w:val="16"/>
              </w:rPr>
              <w:t>NVD/CVE, vendor advisories and authorised scanner summaries</w:t>
            </w:r>
          </w:p>
        </w:tc>
        <w:tc>
          <w:tcPr>
            <w:tcW w:type="dxa" w:w="3360"/>
          </w:tcPr>
          <w:p>
            <w:pPr>
              <w:spacing w:after="40"/>
            </w:pPr>
            <w:r>
              <w:rPr>
                <w:sz w:val="16"/>
              </w:rPr>
              <w:t>Map known issues to disclosed product/version; no active scanning without written authorisation.</w:t>
            </w:r>
          </w:p>
        </w:tc>
      </w:tr>
      <w:tr>
        <w:tc>
          <w:tcPr>
            <w:tcW w:type="dxa" w:w="3360"/>
            <w:shd w:fill="F1F6F8"/>
          </w:tcPr>
          <w:p>
            <w:pPr>
              <w:spacing w:after="40"/>
            </w:pPr>
            <w:r>
              <w:rPr>
                <w:sz w:val="16"/>
              </w:rPr>
              <w:t>Security controls</w:t>
            </w:r>
          </w:p>
        </w:tc>
        <w:tc>
          <w:tcPr>
            <w:tcW w:type="dxa" w:w="3360"/>
            <w:shd w:fill="F1F6F8"/>
          </w:tcPr>
          <w:p>
            <w:pPr>
              <w:spacing w:after="40"/>
            </w:pPr>
            <w:r>
              <w:rPr>
                <w:sz w:val="16"/>
              </w:rPr>
              <w:t>Insurer questionnaire, control attestations, ISO/SOC evidence or authorised assessment summaries</w:t>
            </w:r>
          </w:p>
        </w:tc>
        <w:tc>
          <w:tcPr>
            <w:tcW w:type="dxa" w:w="3360"/>
            <w:shd w:fill="F1F6F8"/>
          </w:tcPr>
          <w:p>
            <w:pPr>
              <w:spacing w:after="40"/>
            </w:pPr>
            <w:r>
              <w:rPr>
                <w:sz w:val="16"/>
              </w:rPr>
              <w:t>Record whether self-reported or independently assessed; do not infer unseen controls.</w:t>
            </w:r>
          </w:p>
        </w:tc>
      </w:tr>
      <w:tr>
        <w:tc>
          <w:tcPr>
            <w:tcW w:type="dxa" w:w="3360"/>
          </w:tcPr>
          <w:p>
            <w:pPr>
              <w:spacing w:after="40"/>
            </w:pPr>
            <w:r>
              <w:rPr>
                <w:sz w:val="16"/>
              </w:rPr>
              <w:t>OT/ICS architecture</w:t>
            </w:r>
          </w:p>
        </w:tc>
        <w:tc>
          <w:tcPr>
            <w:tcW w:type="dxa" w:w="3360"/>
          </w:tcPr>
          <w:p>
            <w:pPr>
              <w:spacing w:after="40"/>
            </w:pPr>
            <w:r>
              <w:rPr>
                <w:sz w:val="16"/>
              </w:rPr>
              <w:t>Customer-provided high-level diagrams, inventories and security assessment summaries</w:t>
            </w:r>
          </w:p>
        </w:tc>
        <w:tc>
          <w:tcPr>
            <w:tcW w:type="dxa" w:w="3360"/>
          </w:tcPr>
          <w:p>
            <w:pPr>
              <w:spacing w:after="40"/>
            </w:pPr>
            <w:r>
              <w:rPr>
                <w:sz w:val="16"/>
              </w:rPr>
              <w:t>Formal authorisation, secure transfer, least privilege; no operational credentials.</w:t>
            </w:r>
          </w:p>
        </w:tc>
      </w:tr>
      <w:tr>
        <w:tc>
          <w:tcPr>
            <w:tcW w:type="dxa" w:w="3360"/>
            <w:shd w:fill="F1F6F8"/>
          </w:tcPr>
          <w:p>
            <w:pPr>
              <w:spacing w:after="40"/>
            </w:pPr>
            <w:r>
              <w:rPr>
                <w:sz w:val="16"/>
              </w:rPr>
              <w:t>Incident/loss history</w:t>
            </w:r>
          </w:p>
        </w:tc>
        <w:tc>
          <w:tcPr>
            <w:tcW w:type="dxa" w:w="3360"/>
            <w:shd w:fill="F1F6F8"/>
          </w:tcPr>
          <w:p>
            <w:pPr>
              <w:spacing w:after="40"/>
            </w:pPr>
            <w:r>
              <w:rPr>
                <w:sz w:val="16"/>
              </w:rPr>
              <w:t>Insured/broker submissions, claims and approved anonymised loss datasets</w:t>
            </w:r>
          </w:p>
        </w:tc>
        <w:tc>
          <w:tcPr>
            <w:tcW w:type="dxa" w:w="3360"/>
            <w:shd w:fill="F1F6F8"/>
          </w:tcPr>
          <w:p>
            <w:pPr>
              <w:spacing w:after="40"/>
            </w:pPr>
            <w:r>
              <w:rPr>
                <w:sz w:val="16"/>
              </w:rPr>
              <w:t>Apply confidentiality, privacy, retention and permitted-use controls.</w:t>
            </w:r>
          </w:p>
        </w:tc>
      </w:tr>
      <w:tr>
        <w:tc>
          <w:tcPr>
            <w:tcW w:type="dxa" w:w="3360"/>
          </w:tcPr>
          <w:p>
            <w:pPr>
              <w:spacing w:after="40"/>
            </w:pPr>
            <w:r>
              <w:rPr>
                <w:sz w:val="16"/>
              </w:rPr>
              <w:t>Operational resilience</w:t>
            </w:r>
          </w:p>
        </w:tc>
        <w:tc>
          <w:tcPr>
            <w:tcW w:type="dxa" w:w="3360"/>
          </w:tcPr>
          <w:p>
            <w:pPr>
              <w:spacing w:after="40"/>
            </w:pPr>
            <w:r>
              <w:rPr>
                <w:sz w:val="16"/>
              </w:rPr>
              <w:t>BCP, backup/recovery evidence, restoration tests and vendor dependencies</w:t>
            </w:r>
          </w:p>
        </w:tc>
        <w:tc>
          <w:tcPr>
            <w:tcW w:type="dxa" w:w="3360"/>
          </w:tcPr>
          <w:p>
            <w:pPr>
              <w:spacing w:after="40"/>
            </w:pPr>
            <w:r>
              <w:rPr>
                <w:sz w:val="16"/>
              </w:rPr>
              <w:t>Distinguish document existence from successfully tested controls.</w:t>
            </w:r>
          </w:p>
        </w:tc>
      </w:tr>
      <w:tr>
        <w:tc>
          <w:tcPr>
            <w:tcW w:type="dxa" w:w="3360"/>
            <w:shd w:fill="F1F6F8"/>
          </w:tcPr>
          <w:p>
            <w:pPr>
              <w:spacing w:after="40"/>
            </w:pPr>
            <w:r>
              <w:rPr>
                <w:sz w:val="16"/>
              </w:rPr>
              <w:t>Grid/market context</w:t>
            </w:r>
          </w:p>
        </w:tc>
        <w:tc>
          <w:tcPr>
            <w:tcW w:type="dxa" w:w="3360"/>
            <w:shd w:fill="F1F6F8"/>
          </w:tcPr>
          <w:p>
            <w:pPr>
              <w:spacing w:after="40"/>
            </w:pPr>
            <w:r>
              <w:rPr>
                <w:sz w:val="16"/>
              </w:rPr>
              <w:t>Public grid operator reports, regulators, outage notices and approved datasets</w:t>
            </w:r>
          </w:p>
        </w:tc>
        <w:tc>
          <w:tcPr>
            <w:tcW w:type="dxa" w:w="3360"/>
            <w:shd w:fill="F1F6F8"/>
          </w:tcPr>
          <w:p>
            <w:pPr>
              <w:spacing w:after="40"/>
            </w:pPr>
            <w:r>
              <w:rPr>
                <w:sz w:val="16"/>
              </w:rPr>
              <w:t>Context only; do not infer facility compromise.</w:t>
            </w:r>
          </w:p>
        </w:tc>
      </w:tr>
      <w:tr>
        <w:tc>
          <w:tcPr>
            <w:tcW w:type="dxa" w:w="3360"/>
          </w:tcPr>
          <w:p>
            <w:pPr>
              <w:spacing w:after="40"/>
            </w:pPr>
            <w:r>
              <w:rPr>
                <w:sz w:val="16"/>
              </w:rPr>
              <w:t>External exposure signals</w:t>
            </w:r>
          </w:p>
        </w:tc>
        <w:tc>
          <w:tcPr>
            <w:tcW w:type="dxa" w:w="3360"/>
          </w:tcPr>
          <w:p>
            <w:pPr>
              <w:spacing w:after="40"/>
            </w:pPr>
            <w:r>
              <w:rPr>
                <w:sz w:val="16"/>
              </w:rPr>
              <w:t>Approved passive DNS/certificate metadata or licensed datasets after legal review</w:t>
            </w:r>
          </w:p>
        </w:tc>
        <w:tc>
          <w:tcPr>
            <w:tcW w:type="dxa" w:w="3360"/>
          </w:tcPr>
          <w:p>
            <w:pPr>
              <w:spacing w:after="40"/>
            </w:pPr>
            <w:r>
              <w:rPr>
                <w:sz w:val="16"/>
              </w:rPr>
              <w:t>Preliminary screening only; verify ownership and false positives.</w:t>
            </w:r>
          </w:p>
        </w:tc>
      </w:tr>
    </w:tbl>
    <w:p/>
    <w:p>
      <w:pPr>
        <w:pStyle w:val="Heading2"/>
      </w:pPr>
      <w:r>
        <w:t>6. Data acquisition workflow</w:t>
      </w:r>
    </w:p>
    <w:p>
      <w:pPr>
        <w:jc w:val="center"/>
      </w:pPr>
      <w:r>
        <w:rPr>
          <w:b/>
        </w:rPr>
        <w:t>Insurer/broker submission + insured consent</w:t>
        <w:br/>
        <w:t>↓</w:t>
        <w:br/>
        <w:t>Entity resolution and asset scope confirmation</w:t>
        <w:br/>
        <w:t>↓</w:t>
        <w:br/>
        <w:t>Public/paid data enrichment + approved evidence uploads</w:t>
        <w:br/>
        <w:t>↓</w:t>
        <w:br/>
        <w:t>Provenance, freshness, confidence and data-quality checks</w:t>
        <w:br/>
        <w:t>↓</w:t>
        <w:br/>
        <w:t>Threat-to-exposure mapping + scenario analysis</w:t>
        <w:br/>
        <w:t>↓</w:t>
        <w:br/>
        <w:t>Underwriting dossier with uncertainty and missing evidence</w:t>
        <w:br/>
        <w:t>↓</w:t>
        <w:br/>
        <w:t>Human underwriter / risk engineer review</w:t>
      </w:r>
    </w:p>
    <w:p>
      <w:pPr>
        <w:pStyle w:val="Heading1"/>
      </w:pPr>
      <w:r>
        <w:t>7. Insurance-relevant cyber scenarios</w:t>
      </w:r>
    </w:p>
    <w:tbl>
      <w:tblPr>
        <w:tblStyle w:val="TableGrid"/>
        <w:tblW w:type="auto" w:w="0"/>
        <w:tblLook w:firstColumn="1" w:firstRow="1" w:lastColumn="0" w:lastRow="0" w:noHBand="0" w:noVBand="1" w:val="04A0"/>
      </w:tblPr>
      <w:tblGrid>
        <w:gridCol w:w="3360"/>
        <w:gridCol w:w="3360"/>
        <w:gridCol w:w="3360"/>
      </w:tblGrid>
      <w:tr>
        <w:tc>
          <w:tcPr>
            <w:tcW w:type="dxa" w:w="3360"/>
            <w:shd w:fill="12304A"/>
          </w:tcPr>
          <w:p>
            <w:r>
              <w:rPr>
                <w:b/>
                <w:color w:val="FFFFFF"/>
                <w:sz w:val="17"/>
              </w:rPr>
              <w:t>Scenario</w:t>
            </w:r>
          </w:p>
        </w:tc>
        <w:tc>
          <w:tcPr>
            <w:tcW w:type="dxa" w:w="3360"/>
            <w:shd w:fill="12304A"/>
          </w:tcPr>
          <w:p>
            <w:r>
              <w:rPr>
                <w:b/>
                <w:color w:val="FFFFFF"/>
                <w:sz w:val="17"/>
              </w:rPr>
              <w:t>Evidence to assess</w:t>
            </w:r>
          </w:p>
        </w:tc>
        <w:tc>
          <w:tcPr>
            <w:tcW w:type="dxa" w:w="3360"/>
            <w:shd w:fill="12304A"/>
          </w:tcPr>
          <w:p>
            <w:r>
              <w:rPr>
                <w:b/>
                <w:color w:val="FFFFFF"/>
                <w:sz w:val="17"/>
              </w:rPr>
              <w:t>Potential insurance relevance</w:t>
            </w:r>
          </w:p>
        </w:tc>
      </w:tr>
      <w:tr>
        <w:tc>
          <w:tcPr>
            <w:tcW w:type="dxa" w:w="3360"/>
          </w:tcPr>
          <w:p>
            <w:pPr>
              <w:spacing w:after="40"/>
            </w:pPr>
            <w:r>
              <w:rPr>
                <w:sz w:val="16"/>
              </w:rPr>
              <w:t>Ransomware / IT-to-OT disruption</w:t>
            </w:r>
          </w:p>
        </w:tc>
        <w:tc>
          <w:tcPr>
            <w:tcW w:type="dxa" w:w="3360"/>
          </w:tcPr>
          <w:p>
            <w:pPr>
              <w:spacing w:after="40"/>
            </w:pPr>
            <w:r>
              <w:rPr>
                <w:sz w:val="16"/>
              </w:rPr>
              <w:t>Segmentation, remote access, backups, incident response</w:t>
            </w:r>
          </w:p>
        </w:tc>
        <w:tc>
          <w:tcPr>
            <w:tcW w:type="dxa" w:w="3360"/>
          </w:tcPr>
          <w:p>
            <w:pPr>
              <w:spacing w:after="40"/>
            </w:pPr>
            <w:r>
              <w:rPr>
                <w:sz w:val="16"/>
              </w:rPr>
              <w:t>Business interruption, response and restoration costs.</w:t>
            </w:r>
          </w:p>
        </w:tc>
      </w:tr>
      <w:tr>
        <w:tc>
          <w:tcPr>
            <w:tcW w:type="dxa" w:w="3360"/>
            <w:shd w:fill="F1F6F8"/>
          </w:tcPr>
          <w:p>
            <w:pPr>
              <w:spacing w:after="40"/>
            </w:pPr>
            <w:r>
              <w:rPr>
                <w:sz w:val="16"/>
              </w:rPr>
              <w:t>Vendor/remote-access compromise</w:t>
            </w:r>
          </w:p>
        </w:tc>
        <w:tc>
          <w:tcPr>
            <w:tcW w:type="dxa" w:w="3360"/>
            <w:shd w:fill="F1F6F8"/>
          </w:tcPr>
          <w:p>
            <w:pPr>
              <w:spacing w:after="40"/>
            </w:pPr>
            <w:r>
              <w:rPr>
                <w:sz w:val="16"/>
              </w:rPr>
              <w:t>MFA, privileged access, vendor access governance and logs</w:t>
            </w:r>
          </w:p>
        </w:tc>
        <w:tc>
          <w:tcPr>
            <w:tcW w:type="dxa" w:w="3360"/>
            <w:shd w:fill="F1F6F8"/>
          </w:tcPr>
          <w:p>
            <w:pPr>
              <w:spacing w:after="40"/>
            </w:pPr>
            <w:r>
              <w:rPr>
                <w:sz w:val="16"/>
              </w:rPr>
              <w:t>Operational disruption and third-party liability.</w:t>
            </w:r>
          </w:p>
        </w:tc>
      </w:tr>
      <w:tr>
        <w:tc>
          <w:tcPr>
            <w:tcW w:type="dxa" w:w="3360"/>
          </w:tcPr>
          <w:p>
            <w:pPr>
              <w:spacing w:after="40"/>
            </w:pPr>
            <w:r>
              <w:rPr>
                <w:sz w:val="16"/>
              </w:rPr>
              <w:t>Control-system compromise</w:t>
            </w:r>
          </w:p>
        </w:tc>
        <w:tc>
          <w:tcPr>
            <w:tcW w:type="dxa" w:w="3360"/>
          </w:tcPr>
          <w:p>
            <w:pPr>
              <w:spacing w:after="40"/>
            </w:pPr>
            <w:r>
              <w:rPr>
                <w:sz w:val="16"/>
              </w:rPr>
              <w:t>High-level architecture, patching/compensating controls, change management</w:t>
            </w:r>
          </w:p>
        </w:tc>
        <w:tc>
          <w:tcPr>
            <w:tcW w:type="dxa" w:w="3360"/>
          </w:tcPr>
          <w:p>
            <w:pPr>
              <w:spacing w:after="40"/>
            </w:pPr>
            <w:r>
              <w:rPr>
                <w:sz w:val="16"/>
              </w:rPr>
              <w:t>Potential physical/operational consequences; specialist OT review required.</w:t>
            </w:r>
          </w:p>
        </w:tc>
      </w:tr>
      <w:tr>
        <w:tc>
          <w:tcPr>
            <w:tcW w:type="dxa" w:w="3360"/>
            <w:shd w:fill="F1F6F8"/>
          </w:tcPr>
          <w:p>
            <w:pPr>
              <w:spacing w:after="40"/>
            </w:pPr>
            <w:r>
              <w:rPr>
                <w:sz w:val="16"/>
              </w:rPr>
              <w:t>Loss of monitoring</w:t>
            </w:r>
          </w:p>
        </w:tc>
        <w:tc>
          <w:tcPr>
            <w:tcW w:type="dxa" w:w="3360"/>
            <w:shd w:fill="F1F6F8"/>
          </w:tcPr>
          <w:p>
            <w:pPr>
              <w:spacing w:after="40"/>
            </w:pPr>
            <w:r>
              <w:rPr>
                <w:sz w:val="16"/>
              </w:rPr>
              <w:t>Monitoring coverage, alert handling and response procedures</w:t>
            </w:r>
          </w:p>
        </w:tc>
        <w:tc>
          <w:tcPr>
            <w:tcW w:type="dxa" w:w="3360"/>
            <w:shd w:fill="F1F6F8"/>
          </w:tcPr>
          <w:p>
            <w:pPr>
              <w:spacing w:after="40"/>
            </w:pPr>
            <w:r>
              <w:rPr>
                <w:sz w:val="16"/>
              </w:rPr>
              <w:t>Detection delay and potentially longer incident duration.</w:t>
            </w:r>
          </w:p>
        </w:tc>
      </w:tr>
      <w:tr>
        <w:tc>
          <w:tcPr>
            <w:tcW w:type="dxa" w:w="3360"/>
          </w:tcPr>
          <w:p>
            <w:pPr>
              <w:spacing w:after="40"/>
            </w:pPr>
            <w:r>
              <w:rPr>
                <w:sz w:val="16"/>
              </w:rPr>
              <w:t>Supply-chain dependency</w:t>
            </w:r>
          </w:p>
        </w:tc>
        <w:tc>
          <w:tcPr>
            <w:tcW w:type="dxa" w:w="3360"/>
          </w:tcPr>
          <w:p>
            <w:pPr>
              <w:spacing w:after="40"/>
            </w:pPr>
            <w:r>
              <w:rPr>
                <w:sz w:val="16"/>
              </w:rPr>
              <w:t>Critical vendors, software lifecycle, vulnerability handling</w:t>
            </w:r>
          </w:p>
        </w:tc>
        <w:tc>
          <w:tcPr>
            <w:tcW w:type="dxa" w:w="3360"/>
          </w:tcPr>
          <w:p>
            <w:pPr>
              <w:spacing w:after="40"/>
            </w:pPr>
            <w:r>
              <w:rPr>
                <w:sz w:val="16"/>
              </w:rPr>
              <w:t>Correlated exposure across insured portfolios.</w:t>
            </w:r>
          </w:p>
        </w:tc>
      </w:tr>
      <w:tr>
        <w:tc>
          <w:tcPr>
            <w:tcW w:type="dxa" w:w="3360"/>
            <w:shd w:fill="F1F6F8"/>
          </w:tcPr>
          <w:p>
            <w:pPr>
              <w:spacing w:after="40"/>
            </w:pPr>
            <w:r>
              <w:rPr>
                <w:sz w:val="16"/>
              </w:rPr>
              <w:t>Recovery failure</w:t>
            </w:r>
          </w:p>
        </w:tc>
        <w:tc>
          <w:tcPr>
            <w:tcW w:type="dxa" w:w="3360"/>
            <w:shd w:fill="F1F6F8"/>
          </w:tcPr>
          <w:p>
            <w:pPr>
              <w:spacing w:after="40"/>
            </w:pPr>
            <w:r>
              <w:rPr>
                <w:sz w:val="16"/>
              </w:rPr>
              <w:t>Tested recovery objectives, backup isolation and restoration evidence</w:t>
            </w:r>
          </w:p>
        </w:tc>
        <w:tc>
          <w:tcPr>
            <w:tcW w:type="dxa" w:w="3360"/>
            <w:shd w:fill="F1F6F8"/>
          </w:tcPr>
          <w:p>
            <w:pPr>
              <w:spacing w:after="40"/>
            </w:pPr>
            <w:r>
              <w:rPr>
                <w:sz w:val="16"/>
              </w:rPr>
              <w:t>Business interruption duration and restoration cost.</w:t>
            </w:r>
          </w:p>
        </w:tc>
      </w:tr>
    </w:tbl>
    <w:p/>
    <w:p>
      <w:pPr>
        <w:pStyle w:val="Heading1"/>
      </w:pPr>
      <w:r>
        <w:t>8. Risk analysis and outputs</w:t>
      </w:r>
    </w:p>
    <w:p>
      <w:pPr>
        <w:pStyle w:val="Heading2"/>
      </w:pPr>
    </w:p>
    <w:p>
      <w:pPr>
        <w:pStyle w:val="ListBullet"/>
        <w:spacing w:after="40"/>
      </w:pPr>
      <w:r>
        <w:t>Exposure profile: sector, geography, asset type, operational criticality and disclosed dependencies.</w:t>
      </w:r>
    </w:p>
    <w:p>
      <w:pPr>
        <w:pStyle w:val="ListBullet"/>
        <w:spacing w:after="40"/>
      </w:pPr>
      <w:r>
        <w:t>Control-evidence matrix: claimed control, evidence source/date, assurance level and gaps.</w:t>
      </w:r>
    </w:p>
    <w:p>
      <w:pPr>
        <w:pStyle w:val="ListBullet"/>
        <w:spacing w:after="40"/>
      </w:pPr>
      <w:r>
        <w:t>Threat relevance: sector threats and vulnerability information mapped to disclosed technologies, with caveats.</w:t>
      </w:r>
    </w:p>
    <w:p>
      <w:pPr>
        <w:pStyle w:val="ListBullet"/>
        <w:spacing w:after="40"/>
      </w:pPr>
      <w:r>
        <w:t>Scenario assessment: event pathway, potential impact dimensions, mitigating controls and uncertainty.</w:t>
      </w:r>
    </w:p>
    <w:p>
      <w:pPr>
        <w:pStyle w:val="ListBullet"/>
        <w:spacing w:after="40"/>
      </w:pPr>
      <w:r>
        <w:t>Data confidence: freshness, completeness, source reliability and conflicting evidence.</w:t>
      </w:r>
    </w:p>
    <w:p>
      <w:pPr>
        <w:pStyle w:val="ListBullet"/>
        <w:spacing w:after="40"/>
      </w:pPr>
      <w:r>
        <w:t>Underwriter dossier: risk summary, follow-up questions, evidence gaps and human-reviewed risk tier.</w:t>
      </w:r>
    </w:p>
    <w:p>
      <w:pPr>
        <w:pStyle w:val="Heading2"/>
      </w:pPr>
    </w:p>
    <w:p>
      <w:r>
        <w:t>Do not present a numeric score as an actuarially validated probability or expected loss unless supported by suitable claims/loss data, model validation, calibration and actuarial review.</w:t>
      </w:r>
    </w:p>
    <w:p>
      <w:pPr>
        <w:pStyle w:val="Heading1"/>
      </w:pPr>
      <w:r>
        <w:t>9. Technology architecture</w:t>
      </w:r>
    </w:p>
    <w:p>
      <w:pPr>
        <w:pStyle w:val="Heading1"/>
      </w:pPr>
    </w:p>
    <w:tbl>
      <w:tblPr>
        <w:tblStyle w:val="TableGrid"/>
        <w:tblW w:type="auto" w:w="0"/>
        <w:tblLook w:firstColumn="1" w:firstRow="1" w:lastColumn="0" w:lastRow="0" w:noHBand="0" w:noVBand="1" w:val="04A0"/>
      </w:tblPr>
      <w:tblGrid>
        <w:gridCol w:w="3360"/>
        <w:gridCol w:w="3360"/>
        <w:gridCol w:w="3360"/>
      </w:tblGrid>
      <w:tr>
        <w:tc>
          <w:tcPr>
            <w:tcW w:type="dxa" w:w="3360"/>
            <w:shd w:fill="12304A"/>
          </w:tcPr>
          <w:p>
            <w:r>
              <w:rPr>
                <w:b/>
                <w:color w:val="FFFFFF"/>
                <w:sz w:val="17"/>
              </w:rPr>
              <w:t>Layer</w:t>
            </w:r>
          </w:p>
        </w:tc>
        <w:tc>
          <w:tcPr>
            <w:tcW w:type="dxa" w:w="3360"/>
            <w:shd w:fill="12304A"/>
          </w:tcPr>
          <w:p>
            <w:r>
              <w:rPr>
                <w:b/>
                <w:color w:val="FFFFFF"/>
                <w:sz w:val="17"/>
              </w:rPr>
              <w:t>Candidate stack</w:t>
            </w:r>
          </w:p>
        </w:tc>
        <w:tc>
          <w:tcPr>
            <w:tcW w:type="dxa" w:w="3360"/>
            <w:shd w:fill="12304A"/>
          </w:tcPr>
          <w:p>
            <w:r>
              <w:rPr>
                <w:b/>
                <w:color w:val="FFFFFF"/>
                <w:sz w:val="17"/>
              </w:rPr>
              <w:t>Purpose</w:t>
            </w:r>
          </w:p>
        </w:tc>
      </w:tr>
      <w:tr>
        <w:tc>
          <w:tcPr>
            <w:tcW w:type="dxa" w:w="3360"/>
          </w:tcPr>
          <w:p>
            <w:pPr>
              <w:spacing w:after="40"/>
            </w:pPr>
            <w:r>
              <w:rPr>
                <w:sz w:val="16"/>
              </w:rPr>
              <w:t>Ingestion</w:t>
            </w:r>
          </w:p>
        </w:tc>
        <w:tc>
          <w:tcPr>
            <w:tcW w:type="dxa" w:w="3360"/>
          </w:tcPr>
          <w:p>
            <w:pPr>
              <w:spacing w:after="40"/>
            </w:pPr>
            <w:r>
              <w:rPr>
                <w:sz w:val="16"/>
              </w:rPr>
              <w:t>Python, FastAPI, secure file upload, approved APIs</w:t>
            </w:r>
          </w:p>
        </w:tc>
        <w:tc>
          <w:tcPr>
            <w:tcW w:type="dxa" w:w="3360"/>
          </w:tcPr>
          <w:p>
            <w:pPr>
              <w:spacing w:after="40"/>
            </w:pPr>
            <w:r>
              <w:rPr>
                <w:sz w:val="16"/>
              </w:rPr>
              <w:t>Collect disclosures and public/authorised data.</w:t>
            </w:r>
          </w:p>
        </w:tc>
      </w:tr>
      <w:tr>
        <w:tc>
          <w:tcPr>
            <w:tcW w:type="dxa" w:w="3360"/>
            <w:shd w:fill="F1F6F8"/>
          </w:tcPr>
          <w:p>
            <w:pPr>
              <w:spacing w:after="40"/>
            </w:pPr>
            <w:r>
              <w:rPr>
                <w:sz w:val="16"/>
              </w:rPr>
              <w:t>Entity resolution</w:t>
            </w:r>
          </w:p>
        </w:tc>
        <w:tc>
          <w:tcPr>
            <w:tcW w:type="dxa" w:w="3360"/>
            <w:shd w:fill="F1F6F8"/>
          </w:tcPr>
          <w:p>
            <w:pPr>
              <w:spacing w:after="40"/>
            </w:pPr>
            <w:r>
              <w:rPr>
                <w:sz w:val="16"/>
              </w:rPr>
              <w:t>Python matching rules, PostgreSQL</w:t>
            </w:r>
          </w:p>
        </w:tc>
        <w:tc>
          <w:tcPr>
            <w:tcW w:type="dxa" w:w="3360"/>
            <w:shd w:fill="F1F6F8"/>
          </w:tcPr>
          <w:p>
            <w:pPr>
              <w:spacing w:after="40"/>
            </w:pPr>
            <w:r>
              <w:rPr>
                <w:sz w:val="16"/>
              </w:rPr>
              <w:t>Resolve company/site/vendor identity and confidence.</w:t>
            </w:r>
          </w:p>
        </w:tc>
      </w:tr>
      <w:tr>
        <w:tc>
          <w:tcPr>
            <w:tcW w:type="dxa" w:w="3360"/>
          </w:tcPr>
          <w:p>
            <w:pPr>
              <w:spacing w:after="40"/>
            </w:pPr>
            <w:r>
              <w:rPr>
                <w:sz w:val="16"/>
              </w:rPr>
              <w:t>Knowledge store</w:t>
            </w:r>
          </w:p>
        </w:tc>
        <w:tc>
          <w:tcPr>
            <w:tcW w:type="dxa" w:w="3360"/>
          </w:tcPr>
          <w:p>
            <w:pPr>
              <w:spacing w:after="40"/>
            </w:pPr>
            <w:r>
              <w:rPr>
                <w:sz w:val="16"/>
              </w:rPr>
              <w:t>PostgreSQL; graph store only if justified</w:t>
            </w:r>
          </w:p>
        </w:tc>
        <w:tc>
          <w:tcPr>
            <w:tcW w:type="dxa" w:w="3360"/>
          </w:tcPr>
          <w:p>
            <w:pPr>
              <w:spacing w:after="40"/>
            </w:pPr>
            <w:r>
              <w:rPr>
                <w:sz w:val="16"/>
              </w:rPr>
              <w:t>Store assets, dependencies, controls, findings and provenance.</w:t>
            </w:r>
          </w:p>
        </w:tc>
      </w:tr>
      <w:tr>
        <w:tc>
          <w:tcPr>
            <w:tcW w:type="dxa" w:w="3360"/>
            <w:shd w:fill="F1F6F8"/>
          </w:tcPr>
          <w:p>
            <w:pPr>
              <w:spacing w:after="40"/>
            </w:pPr>
            <w:r>
              <w:rPr>
                <w:sz w:val="16"/>
              </w:rPr>
              <w:t>Threat enrichment</w:t>
            </w:r>
          </w:p>
        </w:tc>
        <w:tc>
          <w:tcPr>
            <w:tcW w:type="dxa" w:w="3360"/>
            <w:shd w:fill="F1F6F8"/>
          </w:tcPr>
          <w:p>
            <w:pPr>
              <w:spacing w:after="40"/>
            </w:pPr>
            <w:r>
              <w:rPr>
                <w:sz w:val="16"/>
              </w:rPr>
              <w:t>Approved feeds and public advisories</w:t>
            </w:r>
          </w:p>
        </w:tc>
        <w:tc>
          <w:tcPr>
            <w:tcW w:type="dxa" w:w="3360"/>
            <w:shd w:fill="F1F6F8"/>
          </w:tcPr>
          <w:p>
            <w:pPr>
              <w:spacing w:after="40"/>
            </w:pPr>
            <w:r>
              <w:rPr>
                <w:sz w:val="16"/>
              </w:rPr>
              <w:t>Map threat/vulnerability data to disclosed technology.</w:t>
            </w:r>
          </w:p>
        </w:tc>
      </w:tr>
      <w:tr>
        <w:tc>
          <w:tcPr>
            <w:tcW w:type="dxa" w:w="3360"/>
          </w:tcPr>
          <w:p>
            <w:pPr>
              <w:spacing w:after="40"/>
            </w:pPr>
            <w:r>
              <w:rPr>
                <w:sz w:val="16"/>
              </w:rPr>
              <w:t>Risk engine</w:t>
            </w:r>
          </w:p>
        </w:tc>
        <w:tc>
          <w:tcPr>
            <w:tcW w:type="dxa" w:w="3360"/>
          </w:tcPr>
          <w:p>
            <w:pPr>
              <w:spacing w:after="40"/>
            </w:pPr>
            <w:r>
              <w:rPr>
                <w:sz w:val="16"/>
              </w:rPr>
              <w:t>Rules and scenario matrices; calibrated models only if data supports</w:t>
            </w:r>
          </w:p>
        </w:tc>
        <w:tc>
          <w:tcPr>
            <w:tcW w:type="dxa" w:w="3360"/>
          </w:tcPr>
          <w:p>
            <w:pPr>
              <w:spacing w:after="40"/>
            </w:pPr>
            <w:r>
              <w:rPr>
                <w:sz w:val="16"/>
              </w:rPr>
              <w:t>Explainable assessment; separate evidence from inference.</w:t>
            </w:r>
          </w:p>
        </w:tc>
      </w:tr>
      <w:tr>
        <w:tc>
          <w:tcPr>
            <w:tcW w:type="dxa" w:w="3360"/>
            <w:shd w:fill="F1F6F8"/>
          </w:tcPr>
          <w:p>
            <w:pPr>
              <w:spacing w:after="40"/>
            </w:pPr>
            <w:r>
              <w:rPr>
                <w:sz w:val="16"/>
              </w:rPr>
              <w:t>LLM layer</w:t>
            </w:r>
          </w:p>
        </w:tc>
        <w:tc>
          <w:tcPr>
            <w:tcW w:type="dxa" w:w="3360"/>
            <w:shd w:fill="F1F6F8"/>
          </w:tcPr>
          <w:p>
            <w:pPr>
              <w:spacing w:after="40"/>
            </w:pPr>
            <w:r>
              <w:rPr>
                <w:sz w:val="16"/>
              </w:rPr>
              <w:t>Approved LLM with retrieval and source citations</w:t>
            </w:r>
          </w:p>
        </w:tc>
        <w:tc>
          <w:tcPr>
            <w:tcW w:type="dxa" w:w="3360"/>
            <w:shd w:fill="F1F6F8"/>
          </w:tcPr>
          <w:p>
            <w:pPr>
              <w:spacing w:after="40"/>
            </w:pPr>
            <w:r>
              <w:rPr>
                <w:sz w:val="16"/>
              </w:rPr>
              <w:t>Summarise evidence and draft questions; no autonomous underwriting.</w:t>
            </w:r>
          </w:p>
        </w:tc>
      </w:tr>
      <w:tr>
        <w:tc>
          <w:tcPr>
            <w:tcW w:type="dxa" w:w="3360"/>
          </w:tcPr>
          <w:p>
            <w:pPr>
              <w:spacing w:after="40"/>
            </w:pPr>
            <w:r>
              <w:rPr>
                <w:sz w:val="16"/>
              </w:rPr>
              <w:t>UI/reporting</w:t>
            </w:r>
          </w:p>
        </w:tc>
        <w:tc>
          <w:tcPr>
            <w:tcW w:type="dxa" w:w="3360"/>
          </w:tcPr>
          <w:p>
            <w:pPr>
              <w:spacing w:after="40"/>
            </w:pPr>
            <w:r>
              <w:rPr>
                <w:sz w:val="16"/>
              </w:rPr>
              <w:t>Streamlit for POC; enterprise UI later</w:t>
            </w:r>
          </w:p>
        </w:tc>
        <w:tc>
          <w:tcPr>
            <w:tcW w:type="dxa" w:w="3360"/>
          </w:tcPr>
          <w:p>
            <w:pPr>
              <w:spacing w:after="40"/>
            </w:pPr>
            <w:r>
              <w:rPr>
                <w:sz w:val="16"/>
              </w:rPr>
              <w:t>Underwriter workspace and dossier.</w:t>
            </w:r>
          </w:p>
        </w:tc>
      </w:tr>
      <w:tr>
        <w:tc>
          <w:tcPr>
            <w:tcW w:type="dxa" w:w="3360"/>
            <w:shd w:fill="F1F6F8"/>
          </w:tcPr>
          <w:p>
            <w:pPr>
              <w:spacing w:after="40"/>
            </w:pPr>
            <w:r>
              <w:rPr>
                <w:sz w:val="16"/>
              </w:rPr>
              <w:t>Security</w:t>
            </w:r>
          </w:p>
        </w:tc>
        <w:tc>
          <w:tcPr>
            <w:tcW w:type="dxa" w:w="3360"/>
            <w:shd w:fill="F1F6F8"/>
          </w:tcPr>
          <w:p>
            <w:pPr>
              <w:spacing w:after="40"/>
            </w:pPr>
            <w:r>
              <w:rPr>
                <w:sz w:val="16"/>
              </w:rPr>
              <w:t>RBAC, encryption, tenant separation, audit and retention</w:t>
            </w:r>
          </w:p>
        </w:tc>
        <w:tc>
          <w:tcPr>
            <w:tcW w:type="dxa" w:w="3360"/>
            <w:shd w:fill="F1F6F8"/>
          </w:tcPr>
          <w:p>
            <w:pPr>
              <w:spacing w:after="40"/>
            </w:pPr>
            <w:r>
              <w:rPr>
                <w:sz w:val="16"/>
              </w:rPr>
              <w:t>Protect sensitive insured data.</w:t>
            </w:r>
          </w:p>
        </w:tc>
      </w:tr>
    </w:tbl>
    <w:p/>
    <w:p>
      <w:pPr>
        <w:pStyle w:val="Heading1"/>
      </w:pPr>
      <w:r>
        <w:t>10. POC plan</w:t>
      </w:r>
    </w:p>
    <w:p>
      <w:pPr>
        <w:pStyle w:val="Heading2"/>
      </w:pPr>
    </w:p>
    <w:p>
      <w:pPr>
        <w:pStyle w:val="ListBullet"/>
        <w:spacing w:after="40"/>
      </w:pPr>
      <w:r>
        <w:t>Create a fictional solar operator submission with synthetic assets, controls, incident history and recovery evidence.</w:t>
      </w:r>
    </w:p>
    <w:p>
      <w:pPr>
        <w:pStyle w:val="ListBullet"/>
        <w:spacing w:after="40"/>
      </w:pPr>
      <w:r>
        <w:t>Use a small curated set of public advisories plus synthetic vulnerability examples; do not scan real companies or facilities.</w:t>
      </w:r>
    </w:p>
    <w:p>
      <w:pPr>
        <w:pStyle w:val="ListBullet"/>
        <w:spacing w:after="40"/>
      </w:pPr>
      <w:r>
        <w:t>Generate an evidence matrix with source, date, confidence and applicability.</w:t>
      </w:r>
    </w:p>
    <w:p>
      <w:pPr>
        <w:pStyle w:val="ListBullet"/>
        <w:spacing w:after="40"/>
      </w:pPr>
      <w:r>
        <w:t>Assess 3–5 scenarios such as ransomware-driven interruption, vendor remote-access compromise and delayed recovery.</w:t>
      </w:r>
    </w:p>
    <w:p>
      <w:pPr>
        <w:pStyle w:val="ListBullet"/>
        <w:spacing w:after="40"/>
      </w:pPr>
      <w:r>
        <w:t>Produce a risk dossier with missing evidence and follow-up questions for human review.</w:t>
      </w:r>
    </w:p>
    <w:p>
      <w:pPr>
        <w:pStyle w:val="ListBullet"/>
        <w:spacing w:after="40"/>
      </w:pPr>
      <w:r>
        <w:t>Measure traceability, false matches, completeness and reviewer time—not predictive loss accuracy without validated data.</w:t>
      </w:r>
    </w:p>
    <w:p>
      <w:pPr>
        <w:pStyle w:val="Heading1"/>
      </w:pPr>
      <w:r>
        <w:t>11. Compliance, privacy and ethical boundaries</w:t>
      </w:r>
    </w:p>
    <w:p>
      <w:pPr>
        <w:pStyle w:val="Heading2"/>
      </w:pPr>
    </w:p>
    <w:p>
      <w:pPr>
        <w:pStyle w:val="ListBullet"/>
        <w:spacing w:after="40"/>
      </w:pPr>
      <w:r>
        <w:t>Use public data within its terms and licensed feeds within contract terms.</w:t>
      </w:r>
    </w:p>
    <w:p>
      <w:pPr>
        <w:pStyle w:val="ListBullet"/>
        <w:spacing w:after="40"/>
      </w:pPr>
      <w:r>
        <w:t>Obtain written permission for insured technical data and any security testing; no active scanning in the POC.</w:t>
      </w:r>
    </w:p>
    <w:p>
      <w:pPr>
        <w:pStyle w:val="ListBullet"/>
        <w:spacing w:after="40"/>
      </w:pPr>
      <w:r>
        <w:t>Minimise personal and sensitive infrastructure data; encrypt, restrict access, set retention and maintain audit logs.</w:t>
      </w:r>
    </w:p>
    <w:p>
      <w:pPr>
        <w:pStyle w:val="ListBullet"/>
        <w:spacing w:after="40"/>
      </w:pPr>
      <w:r>
        <w:t>Separate verified fact, self-attestation, independent assessment, model inference and unknowns.</w:t>
      </w:r>
    </w:p>
    <w:p>
      <w:pPr>
        <w:pStyle w:val="ListBullet"/>
        <w:spacing w:after="40"/>
      </w:pPr>
      <w:r>
        <w:t>Do not expose detailed site vulnerabilities to unauthorised parties.</w:t>
      </w:r>
    </w:p>
    <w:p>
      <w:pPr>
        <w:pStyle w:val="ListBullet"/>
        <w:spacing w:after="40"/>
      </w:pPr>
      <w:r>
        <w:t>Require underwriter, actuarial and OT-risk-engineering review before use in pricing, coverage or binding terms.</w:t>
      </w:r>
    </w:p>
    <w:p>
      <w:pPr>
        <w:pStyle w:val="ListBullet"/>
        <w:spacing w:after="40"/>
      </w:pPr>
      <w:r>
        <w:t>Review applicable insurance, privacy, cybersecurity, model-risk and cross-border data rules with qualified specialists.</w:t>
      </w:r>
    </w:p>
    <w:p>
      <w:pPr>
        <w:pStyle w:val="Heading1"/>
      </w:pPr>
      <w:r>
        <w:t>12. Commercial model and validation</w:t>
      </w:r>
    </w:p>
    <w:p>
      <w:pPr>
        <w:pStyle w:val="Heading2"/>
      </w:pPr>
    </w:p>
    <w:p>
      <w:r>
        <w:t>Potential models include per-submission assessment fees, annual insurer/broker subscriptions, portfolio monitoring and risk-engineering support. Pricing, market size, data licensing and willingness to pay are unvalidated. Interview underwriters, cyber risk engineers, brokers and renewable-asset owners before expanding beyond a synthetic-data prototype.</w:t>
      </w:r>
    </w:p>
    <w:p>
      <w:pPr>
        <w:pStyle w:val="Heading1"/>
      </w:pPr>
      <w:r>
        <w:t>13. Differentiation and risks</w:t>
      </w:r>
    </w:p>
    <w:p>
      <w:pPr>
        <w:pStyle w:val="Heading2"/>
      </w:pPr>
    </w:p>
    <w:p>
      <w:r>
        <w:t>Mariner’s proposed differentiator is a power-sector-specific evidence-provenance workflow that maps cyber threats and control evidence to insurance-relevant scenarios and data gaps. It is not a vulnerability scanner, threat-intelligence feed or actuarial model by itself. Public data can be stale or misattributed; cyber threat relevance does not equal compromise or quantified loss probability; and underwriting models require actuarial governance.</w:t>
      </w:r>
    </w:p>
    <w:p>
      <w:pPr>
        <w:pStyle w:val="Heading1"/>
      </w:pPr>
      <w:r>
        <w:t>14. IdeaTank submission summary</w:t>
      </w:r>
    </w:p>
    <w:p>
      <w:pPr>
        <w:pStyle w:val="Heading2"/>
      </w:pPr>
    </w:p>
    <w:p>
      <w:r>
        <w:t>Project Mariner is a proposed power-sector cyber-risk intelligence platform for insurers and brokers. It combines authorised insured disclosures, asset/control evidence and legitimate public or licensed threat intelligence to create source-traceable underwriting dossiers for utilities and renewable-energy portfolios. It maps relevant cyber scenarios to potential business-interruption and operational consequences, highlights missing evidence and supports underwriter review. The initial POC uses fictional data and curated public advisories; it does not scan live infrastructure or claim actuarially validated loss prediction.</w:t>
      </w:r>
    </w:p>
    <w:p>
      <w:pPr>
        <w:pStyle w:val="Heading1"/>
      </w:pPr>
      <w:r>
        <w:t>15. Initial reference sources</w:t>
      </w:r>
    </w:p>
    <w:p>
      <w:pPr>
        <w:pStyle w:val="Heading2"/>
      </w:pPr>
    </w:p>
    <w:p>
      <w:pPr>
        <w:pStyle w:val="ListBullet"/>
        <w:spacing w:after="40"/>
      </w:pPr>
      <w:r>
        <w:t>CISA Known Exploited Vulnerabilities Catalog: https://www.cisa.gov/known-exploited-vulnerabilities-catalog</w:t>
      </w:r>
    </w:p>
    <w:p>
      <w:pPr>
        <w:pStyle w:val="ListBullet"/>
        <w:spacing w:after="40"/>
      </w:pPr>
      <w:r>
        <w:t>NIST National Vulnerability Database: https://nvd.nist.gov/</w:t>
      </w:r>
    </w:p>
    <w:p>
      <w:pPr>
        <w:pStyle w:val="ListBullet"/>
        <w:spacing w:after="40"/>
      </w:pPr>
      <w:r>
        <w:t>ENISA publications and threat landscape: https://www.enisa.europa.eu/</w:t>
      </w:r>
    </w:p>
    <w:p>
      <w:pPr>
        <w:pStyle w:val="ListBullet"/>
        <w:spacing w:after="40"/>
      </w:pPr>
      <w:r>
        <w:t>NIST Cybersecurity Framework: https://www.nist.gov/cyberframework</w:t>
      </w:r>
    </w:p>
    <w:p>
      <w:pPr>
        <w:pStyle w:val="ListBullet"/>
        <w:spacing w:after="40"/>
      </w:pPr>
      <w:r>
        <w:t>NIST AI Risk Management Framework: https://www.nist.gov/itl/ai-risk-management-framework</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07A"/>
        <w:sz w:val="16"/>
      </w:rPr>
      <w:t>EXL IDEATANK • CONCEPT DRAFT • 29 OCT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230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87E8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2304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