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4"/>
        </w:rPr>
        <w:t>EXL IDEATANK</w:t>
        <w:br/>
      </w:r>
      <w:r>
        <w:rPr>
          <w:b/>
          <w:color w:val="12304A"/>
          <w:sz w:val="48"/>
        </w:rPr>
        <w:t>NOVA</w:t>
      </w:r>
    </w:p>
    <w:p>
      <w:pPr>
        <w:jc w:val="center"/>
      </w:pPr>
      <w:r>
        <w:rPr>
          <w:i/>
        </w:rPr>
        <w:t>Multi-Cloud Workload Value Optimizer | Cost, Performance and Business Constraints</w:t>
      </w:r>
    </w:p>
    <w:p>
      <w:pPr>
        <w:jc w:val="center"/>
      </w:pPr>
      <w:r>
        <w:t>Concept proposal for internal evaluation • 29 October 2026</w:t>
      </w:r>
    </w:p>
    <w:p>
      <w:pPr>
        <w:pStyle w:val="Heading1"/>
      </w:pPr>
      <w:r>
        <w:t>1. Executive summary</w:t>
      </w:r>
    </w:p>
    <w:p>
      <w:pPr>
        <w:pStyle w:val="Heading2"/>
      </w:pPr>
    </w:p>
    <w:p>
      <w:r>
        <w:t>NOVA is a proposed software platform to compare workload placement and optimization options across cloud environments. It connects cost and workload data to service criticality, performance, resilience and compliance constraints, then produces explainable recommendations. The POC remains read-only.</w:t>
      </w:r>
    </w:p>
    <w:p>
      <w:pPr>
        <w:pStyle w:val="Heading1"/>
      </w:pPr>
      <w:r>
        <w:t>2. Problem statement</w:t>
      </w:r>
    </w:p>
    <w:p>
      <w:pPr>
        <w:pStyle w:val="Heading2"/>
      </w:pPr>
    </w:p>
    <w:p>
      <w:r>
        <w:t>Multi-cloud enterprises may have fragmented cost visibility, inconsistent tagging and limited linkage between cloud bills and business services. A low-cost configuration may not satisfy latency, availability, data-residency or resilience requirements.</w:t>
      </w:r>
    </w:p>
    <w:p>
      <w:pPr>
        <w:pStyle w:val="Heading1"/>
      </w:pPr>
      <w:r>
        <w:t>3. Proposed solution</w:t>
      </w:r>
    </w:p>
    <w:p>
      <w:pPr>
        <w:pStyle w:val="Heading2"/>
      </w:pPr>
    </w:p>
    <w:p>
      <w:r>
        <w:t>NOVA normalises billing and workload records, maps workloads to business constraints and compares feasible scenarios. It explains trade-offs and estimates potential savings, separating estimates from realised outcomes.</w:t>
      </w:r>
    </w:p>
    <w:p>
      <w:pPr>
        <w:pStyle w:val="Heading2"/>
      </w:pPr>
      <w:r>
        <w:t>4. Core capabilities</w:t>
      </w:r>
    </w:p>
    <w:p>
      <w:pPr>
        <w:pStyle w:val="ListBullet"/>
        <w:spacing w:after="40"/>
      </w:pPr>
      <w:r>
        <w:t>Normalize cloud billing exports and workload inventory.</w:t>
      </w:r>
    </w:p>
    <w:p>
      <w:pPr>
        <w:pStyle w:val="ListBullet"/>
        <w:spacing w:after="40"/>
      </w:pPr>
      <w:r>
        <w:t>Map workloads to business services, owners, criticality and constraints.</w:t>
      </w:r>
    </w:p>
    <w:p>
      <w:pPr>
        <w:pStyle w:val="ListBullet"/>
        <w:spacing w:after="40"/>
      </w:pPr>
      <w:r>
        <w:t>Compare cost, latency, availability, resilience and residency requirements.</w:t>
      </w:r>
    </w:p>
    <w:p>
      <w:pPr>
        <w:pStyle w:val="ListBullet"/>
        <w:spacing w:after="40"/>
      </w:pPr>
      <w:r>
        <w:t>Evaluate candidate rightsizing, scheduling and placement scenarios.</w:t>
      </w:r>
    </w:p>
    <w:p>
      <w:pPr>
        <w:pStyle w:val="ListBullet"/>
        <w:spacing w:after="40"/>
      </w:pPr>
      <w:r>
        <w:t>Show assumptions, calculations, constraints and human approval status.</w:t>
      </w:r>
    </w:p>
    <w:p>
      <w:pPr>
        <w:pStyle w:val="ListBullet"/>
        <w:spacing w:after="40"/>
      </w:pPr>
      <w:r>
        <w:t>Track approved changes against a baseline when authorised data becomes available.</w:t>
      </w:r>
    </w:p>
    <w:p>
      <w:pPr>
        <w:pStyle w:val="Heading2"/>
      </w:pPr>
      <w:r>
        <w:t>5. Architecture</w:t>
      </w:r>
    </w:p>
    <w:p>
      <w:pPr>
        <w:jc w:val="center"/>
      </w:pPr>
      <w:r>
        <w:rPr>
          <w:b/>
        </w:rPr>
        <w:t>Billing exports + workload inventory + business constraints</w:t>
        <w:br/>
        <w:t>↓</w:t>
        <w:br/>
        <w:t>Ingestion and normalisation</w:t>
        <w:br/>
        <w:t>↓</w:t>
        <w:br/>
        <w:t>Workload-to-service mapping</w:t>
        <w:br/>
        <w:t>↓</w:t>
        <w:br/>
        <w:t>Cost model + constraint-aware scenario engine</w:t>
        <w:br/>
        <w:t>↓</w:t>
        <w:br/>
        <w:t>Explainable ranked recommendations</w:t>
        <w:br/>
        <w:t>↓</w:t>
        <w:br/>
        <w:t>Human approval → outcome tracking</w:t>
      </w:r>
    </w:p>
    <w:p>
      <w:pPr>
        <w:pStyle w:val="Heading2"/>
      </w:pPr>
      <w:r>
        <w:t>6. Software-only POC</w:t>
      </w:r>
    </w:p>
    <w:p>
      <w:pPr>
        <w:pStyle w:val="ListBullet"/>
        <w:spacing w:after="40"/>
      </w:pPr>
      <w:r>
        <w:t>Create synthetic multi-cloud billing and workload data with fictional CPU/memory profiles, traffic, latency and resilience constraints.</w:t>
      </w:r>
    </w:p>
    <w:p>
      <w:pPr>
        <w:pStyle w:val="ListBullet"/>
        <w:spacing w:after="40"/>
      </w:pPr>
      <w:r>
        <w:t>Calculate baseline monthly cost and identify candidate optimization opportunities.</w:t>
      </w:r>
    </w:p>
    <w:p>
      <w:pPr>
        <w:pStyle w:val="ListBullet"/>
        <w:spacing w:after="40"/>
      </w:pPr>
      <w:r>
        <w:t>Compare a small number of candidate configurations or placements using transparent calculations.</w:t>
      </w:r>
    </w:p>
    <w:p>
      <w:pPr>
        <w:pStyle w:val="ListBullet"/>
        <w:spacing w:after="40"/>
      </w:pPr>
      <w:r>
        <w:t>Reject scenarios that violate hard constraints such as residency or required availability.</w:t>
      </w:r>
    </w:p>
    <w:p>
      <w:pPr>
        <w:pStyle w:val="ListBullet"/>
        <w:spacing w:after="40"/>
      </w:pPr>
      <w:r>
        <w:t>Display cost delta, trade-offs, assumptions and potential—not realised—savings.</w:t>
      </w:r>
    </w:p>
    <w:p>
      <w:pPr>
        <w:pStyle w:val="Heading1"/>
      </w:pPr>
      <w:r>
        <w:t>7.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Layer</w:t>
            </w:r>
          </w:p>
        </w:tc>
        <w:tc>
          <w:tcPr>
            <w:tcW w:type="dxa" w:w="3360"/>
            <w:shd w:fill="12304A"/>
          </w:tcPr>
          <w:p>
            <w:r>
              <w:rPr>
                <w:b/>
                <w:color w:val="FFFFFF"/>
                <w:sz w:val="17"/>
              </w:rPr>
              <w:t>Candidate technology</w:t>
            </w:r>
          </w:p>
        </w:tc>
        <w:tc>
          <w:tcPr>
            <w:tcW w:type="dxa" w:w="3360"/>
            <w:shd w:fill="12304A"/>
          </w:tcPr>
          <w:p>
            <w:r>
              <w:rPr>
                <w:b/>
                <w:color w:val="FFFFFF"/>
                <w:sz w:val="17"/>
              </w:rPr>
              <w:t>Purpose</w:t>
            </w:r>
          </w:p>
        </w:tc>
      </w:tr>
      <w:tr>
        <w:tc>
          <w:tcPr>
            <w:tcW w:type="dxa" w:w="3360"/>
          </w:tcPr>
          <w:p>
            <w:pPr>
              <w:spacing w:after="40"/>
            </w:pPr>
            <w:r>
              <w:rPr>
                <w:sz w:val="16"/>
              </w:rPr>
              <w:t>Data handling</w:t>
            </w:r>
          </w:p>
        </w:tc>
        <w:tc>
          <w:tcPr>
            <w:tcW w:type="dxa" w:w="3360"/>
          </w:tcPr>
          <w:p>
            <w:pPr>
              <w:spacing w:after="40"/>
            </w:pPr>
            <w:r>
              <w:rPr>
                <w:sz w:val="16"/>
              </w:rPr>
              <w:t>Python, Pandas, CSV/JSON</w:t>
            </w:r>
          </w:p>
        </w:tc>
        <w:tc>
          <w:tcPr>
            <w:tcW w:type="dxa" w:w="3360"/>
          </w:tcPr>
          <w:p>
            <w:pPr>
              <w:spacing w:after="40"/>
            </w:pPr>
            <w:r>
              <w:rPr>
                <w:sz w:val="16"/>
              </w:rPr>
              <w:t>Normalize sample billing and inventory.</w:t>
            </w:r>
          </w:p>
        </w:tc>
      </w:tr>
      <w:tr>
        <w:tc>
          <w:tcPr>
            <w:tcW w:type="dxa" w:w="3360"/>
            <w:shd w:fill="F1F6F8"/>
          </w:tcPr>
          <w:p>
            <w:pPr>
              <w:spacing w:after="40"/>
            </w:pPr>
            <w:r>
              <w:rPr>
                <w:sz w:val="16"/>
              </w:rPr>
              <w:t>Scenario engine</w:t>
            </w:r>
          </w:p>
        </w:tc>
        <w:tc>
          <w:tcPr>
            <w:tcW w:type="dxa" w:w="3360"/>
            <w:shd w:fill="F1F6F8"/>
          </w:tcPr>
          <w:p>
            <w:pPr>
              <w:spacing w:after="40"/>
            </w:pPr>
            <w:r>
              <w:rPr>
                <w:sz w:val="16"/>
              </w:rPr>
              <w:t>Python rules and cost calculations</w:t>
            </w:r>
          </w:p>
        </w:tc>
        <w:tc>
          <w:tcPr>
            <w:tcW w:type="dxa" w:w="3360"/>
            <w:shd w:fill="F1F6F8"/>
          </w:tcPr>
          <w:p>
            <w:pPr>
              <w:spacing w:after="40"/>
            </w:pPr>
            <w:r>
              <w:rPr>
                <w:sz w:val="16"/>
              </w:rPr>
              <w:t>Explainable comparison.</w:t>
            </w:r>
          </w:p>
        </w:tc>
      </w:tr>
      <w:tr>
        <w:tc>
          <w:tcPr>
            <w:tcW w:type="dxa" w:w="3360"/>
          </w:tcPr>
          <w:p>
            <w:pPr>
              <w:spacing w:after="40"/>
            </w:pPr>
            <w:r>
              <w:rPr>
                <w:sz w:val="16"/>
              </w:rPr>
              <w:t>API</w:t>
            </w:r>
          </w:p>
        </w:tc>
        <w:tc>
          <w:tcPr>
            <w:tcW w:type="dxa" w:w="3360"/>
          </w:tcPr>
          <w:p>
            <w:pPr>
              <w:spacing w:after="40"/>
            </w:pPr>
            <w:r>
              <w:rPr>
                <w:sz w:val="16"/>
              </w:rPr>
              <w:t>FastAPI, Pydantic</w:t>
            </w:r>
          </w:p>
        </w:tc>
        <w:tc>
          <w:tcPr>
            <w:tcW w:type="dxa" w:w="3360"/>
          </w:tcPr>
          <w:p>
            <w:pPr>
              <w:spacing w:after="40"/>
            </w:pPr>
            <w:r>
              <w:rPr>
                <w:sz w:val="16"/>
              </w:rPr>
              <w:t>Input validation and modular services.</w:t>
            </w:r>
          </w:p>
        </w:tc>
      </w:tr>
      <w:tr>
        <w:tc>
          <w:tcPr>
            <w:tcW w:type="dxa" w:w="3360"/>
            <w:shd w:fill="F1F6F8"/>
          </w:tcPr>
          <w:p>
            <w:pPr>
              <w:spacing w:after="40"/>
            </w:pPr>
            <w:r>
              <w:rPr>
                <w:sz w:val="16"/>
              </w:rPr>
              <w:t>Storage</w:t>
            </w:r>
          </w:p>
        </w:tc>
        <w:tc>
          <w:tcPr>
            <w:tcW w:type="dxa" w:w="3360"/>
            <w:shd w:fill="F1F6F8"/>
          </w:tcPr>
          <w:p>
            <w:pPr>
              <w:spacing w:after="40"/>
            </w:pPr>
            <w:r>
              <w:rPr>
                <w:sz w:val="16"/>
              </w:rPr>
              <w:t>PostgreSQL or CSV/Parquet</w:t>
            </w:r>
          </w:p>
        </w:tc>
        <w:tc>
          <w:tcPr>
            <w:tcW w:type="dxa" w:w="3360"/>
            <w:shd w:fill="F1F6F8"/>
          </w:tcPr>
          <w:p>
            <w:pPr>
              <w:spacing w:after="40"/>
            </w:pPr>
            <w:r>
              <w:rPr>
                <w:sz w:val="16"/>
              </w:rPr>
              <w:t>Store normalized records and scenarios.</w:t>
            </w:r>
          </w:p>
        </w:tc>
      </w:tr>
      <w:tr>
        <w:tc>
          <w:tcPr>
            <w:tcW w:type="dxa" w:w="3360"/>
          </w:tcPr>
          <w:p>
            <w:pPr>
              <w:spacing w:after="40"/>
            </w:pPr>
            <w:r>
              <w:rPr>
                <w:sz w:val="16"/>
              </w:rPr>
              <w:t>Dashboard</w:t>
            </w:r>
          </w:p>
        </w:tc>
        <w:tc>
          <w:tcPr>
            <w:tcW w:type="dxa" w:w="3360"/>
          </w:tcPr>
          <w:p>
            <w:pPr>
              <w:spacing w:after="40"/>
            </w:pPr>
            <w:r>
              <w:rPr>
                <w:sz w:val="16"/>
              </w:rPr>
              <w:t>Streamlit</w:t>
            </w:r>
          </w:p>
        </w:tc>
        <w:tc>
          <w:tcPr>
            <w:tcW w:type="dxa" w:w="3360"/>
          </w:tcPr>
          <w:p>
            <w:pPr>
              <w:spacing w:after="40"/>
            </w:pPr>
            <w:r>
              <w:rPr>
                <w:sz w:val="16"/>
              </w:rPr>
              <w:t>Show scenarios, constraints and recommendations.</w:t>
            </w:r>
          </w:p>
        </w:tc>
      </w:tr>
      <w:tr>
        <w:tc>
          <w:tcPr>
            <w:tcW w:type="dxa" w:w="3360"/>
            <w:shd w:fill="F1F6F8"/>
          </w:tcPr>
          <w:p>
            <w:pPr>
              <w:spacing w:after="40"/>
            </w:pPr>
            <w:r>
              <w:rPr>
                <w:sz w:val="16"/>
              </w:rPr>
              <w:t>Deployment</w:t>
            </w:r>
          </w:p>
        </w:tc>
        <w:tc>
          <w:tcPr>
            <w:tcW w:type="dxa" w:w="3360"/>
            <w:shd w:fill="F1F6F8"/>
          </w:tcPr>
          <w:p>
            <w:pPr>
              <w:spacing w:after="40"/>
            </w:pPr>
            <w:r>
              <w:rPr>
                <w:sz w:val="16"/>
              </w:rPr>
              <w:t>Docker in approved environment</w:t>
            </w:r>
          </w:p>
        </w:tc>
        <w:tc>
          <w:tcPr>
            <w:tcW w:type="dxa" w:w="3360"/>
            <w:shd w:fill="F1F6F8"/>
          </w:tcPr>
          <w:p>
            <w:pPr>
              <w:spacing w:after="40"/>
            </w:pPr>
            <w:r>
              <w:rPr>
                <w:sz w:val="16"/>
              </w:rPr>
              <w:t>Reproducible deployment.</w:t>
            </w:r>
          </w:p>
        </w:tc>
      </w:tr>
    </w:tbl>
    <w:p/>
    <w:p>
      <w:pPr>
        <w:pStyle w:val="Heading1"/>
      </w:pPr>
      <w:r>
        <w:t>8. Business value and revenue hypothesis</w:t>
      </w:r>
    </w:p>
    <w:p>
      <w:pPr>
        <w:pStyle w:val="Heading2"/>
      </w:pPr>
    </w:p>
    <w:p>
      <w:r>
        <w:t>Potential value includes better cost visibility, less manual comparison work and optimization decisions that respect business constraints. Possible monetisation includes annual subscriptions, cloud-data integration and managed FinOps services. Pricing, willingness to pay and savings require validation.</w:t>
      </w:r>
    </w:p>
    <w:p>
      <w:pPr>
        <w:pStyle w:val="Heading1"/>
      </w:pPr>
      <w:r>
        <w:t>9. Differentiation and risks</w:t>
      </w:r>
    </w:p>
    <w:p>
      <w:pPr>
        <w:pStyle w:val="Heading2"/>
      </w:pPr>
    </w:p>
    <w:p>
      <w:pPr>
        <w:pStyle w:val="ListBullet"/>
        <w:spacing w:after="40"/>
      </w:pPr>
      <w:r>
        <w:t>Potential differentiation: business-aware workload decisions, not cost dashboards alone.</w:t>
      </w:r>
    </w:p>
    <w:p>
      <w:pPr>
        <w:pStyle w:val="ListBullet"/>
        <w:spacing w:after="40"/>
      </w:pPr>
      <w:r>
        <w:t>Major overlap risk: an existing EXL concept called Cloud MOF was mentioned in the discussion.</w:t>
      </w:r>
    </w:p>
    <w:p>
      <w:pPr>
        <w:pStyle w:val="ListBullet"/>
        <w:spacing w:after="40"/>
      </w:pPr>
      <w:r>
        <w:t>Cloud providers and FinOps platforms already offer cost analysis and optimization capabilities.</w:t>
      </w:r>
    </w:p>
    <w:p>
      <w:pPr>
        <w:pStyle w:val="ListBullet"/>
        <w:spacing w:after="40"/>
      </w:pPr>
      <w:r>
        <w:t>Recommendations depend on accurate billing, workload metadata and business constraints.</w:t>
      </w:r>
    </w:p>
    <w:p>
      <w:pPr>
        <w:pStyle w:val="ListBullet"/>
        <w:spacing w:after="40"/>
      </w:pPr>
      <w:r>
        <w:t>Do not execute production changes; human approval is mandatory.</w:t>
      </w:r>
    </w:p>
    <w:p>
      <w:pPr>
        <w:pStyle w:val="Heading1"/>
      </w:pPr>
      <w:r>
        <w:t>10. Internal validation gate</w:t>
      </w:r>
    </w:p>
    <w:p>
      <w:pPr>
        <w:pStyle w:val="Heading2"/>
      </w:pPr>
    </w:p>
    <w:p>
      <w:r>
        <w:t>Before IdeaTank submission, compare NOVA's scope and roadmap with Cloud MOF and other EXL offerings. Proceed only if a distinct unmet need, sponsor and customer value can be established.</w:t>
      </w:r>
    </w:p>
    <w:p>
      <w:pPr>
        <w:pStyle w:val="Heading1"/>
      </w:pPr>
      <w:r>
        <w:t>11. IdeaTank submission summary</w:t>
      </w:r>
    </w:p>
    <w:p>
      <w:pPr>
        <w:pStyle w:val="Heading2"/>
      </w:pPr>
    </w:p>
    <w:p>
      <w:r>
        <w:t>NOVA is a proposed multi-cloud workload value optimizer that compares cloud placement options against cost, performance, resilience and business constraints. The initial POC will use synthetic data to demonstrate normalized cost comparison, constraint-aware scenario analysis and explainable recommendations. The concept must first be checked for overlap with EXL's existing Cloud MOF initiative.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A"/>
        <w:sz w:val="16"/>
      </w:rPr>
      <w:t>EXL IDEATANK • CONCEPT DRAFT • 29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