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24"/>
        </w:rPr>
        <w:t>EXL IDEATANK</w:t>
        <w:br/>
      </w:r>
      <w:r>
        <w:rPr>
          <w:b/>
          <w:color w:val="12304A"/>
          <w:sz w:val="48"/>
        </w:rPr>
        <w:t>PROJECT ATLAS</w:t>
      </w:r>
    </w:p>
    <w:p>
      <w:pPr>
        <w:jc w:val="center"/>
      </w:pPr>
      <w:r>
        <w:rPr>
          <w:i/>
        </w:rPr>
        <w:t>AI Deal &amp; Proposal Intelligence | From Business Opportunity to Evidence-Backed Decisions</w:t>
      </w:r>
    </w:p>
    <w:p>
      <w:pPr>
        <w:jc w:val="center"/>
      </w:pPr>
      <w:r>
        <w:t>Concept proposal for internal evaluation • 29 October 2026</w:t>
      </w:r>
    </w:p>
    <w:p>
      <w:pPr>
        <w:pStyle w:val="Heading1"/>
      </w:pPr>
      <w:r>
        <w:t>1. Executive summary</w:t>
      </w:r>
    </w:p>
    <w:p>
      <w:pPr>
        <w:pStyle w:val="Heading2"/>
      </w:pPr>
    </w:p>
    <w:p>
      <w:r>
        <w:t>Project Atlas is a proposed AI-assisted review platform for high-value consulting and transformation proposals. It maps RFP requirements to proposed responses, validates financial calculations, checks delivery assumptions and produces a traceable review report. Its purpose is not simply to write proposals; it is to identify unsupported claims, inconsistent assumptions and delivery risks before submission.</w:t>
      </w:r>
    </w:p>
    <w:p>
      <w:pPr>
        <w:pStyle w:val="Heading1"/>
      </w:pPr>
      <w:r>
        <w:t>2. Problem statement</w:t>
      </w:r>
    </w:p>
    <w:p>
      <w:pPr>
        <w:pStyle w:val="Heading2"/>
      </w:pPr>
    </w:p>
    <w:p>
      <w:r>
        <w:t>Proposal teams reconcile RFPs, solution narratives, financial models, staffing plans, schedules and evidence from multiple sources. Manual review may miss missing requirements, overstated benefits, arithmetic inconsistencies, uncosted scope or infeasible dependencies. Generic text generation does not reliably validate the underlying business case.</w:t>
      </w:r>
    </w:p>
    <w:p>
      <w:pPr>
        <w:pStyle w:val="Heading1"/>
      </w:pPr>
      <w:r>
        <w:t>3. Proposed solution</w:t>
      </w:r>
    </w:p>
    <w:p>
      <w:pPr>
        <w:pStyle w:val="Heading2"/>
      </w:pPr>
    </w:p>
    <w:p>
      <w:r>
        <w:t>Atlas creates a connected proposal assurance workflow. It extracts requirements and source evidence, checks financial and operational assumptions using deterministic rules, flags discrepancies, and presents a human-reviewable report with the evidence and calculations behind every finding.</w:t>
      </w:r>
    </w:p>
    <w:p>
      <w:pPr>
        <w:pStyle w:val="Heading1"/>
      </w:pPr>
      <w:r>
        <w:t>4. Core modules</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Module</w:t>
            </w:r>
          </w:p>
        </w:tc>
        <w:tc>
          <w:tcPr>
            <w:tcW w:type="dxa" w:w="3360"/>
            <w:shd w:fill="12304A"/>
          </w:tcPr>
          <w:p>
            <w:r>
              <w:rPr>
                <w:b/>
                <w:color w:val="FFFFFF"/>
                <w:sz w:val="17"/>
              </w:rPr>
              <w:t>Function</w:t>
            </w:r>
          </w:p>
        </w:tc>
        <w:tc>
          <w:tcPr>
            <w:tcW w:type="dxa" w:w="3360"/>
            <w:shd w:fill="12304A"/>
          </w:tcPr>
          <w:p>
            <w:r>
              <w:rPr>
                <w:b/>
                <w:color w:val="FFFFFF"/>
                <w:sz w:val="17"/>
              </w:rPr>
              <w:t>Output</w:t>
            </w:r>
          </w:p>
        </w:tc>
      </w:tr>
      <w:tr>
        <w:tc>
          <w:tcPr>
            <w:tcW w:type="dxa" w:w="3360"/>
          </w:tcPr>
          <w:p>
            <w:pPr>
              <w:spacing w:after="40"/>
            </w:pPr>
            <w:r>
              <w:rPr>
                <w:sz w:val="16"/>
              </w:rPr>
              <w:t>RFP Intelligence</w:t>
            </w:r>
          </w:p>
        </w:tc>
        <w:tc>
          <w:tcPr>
            <w:tcW w:type="dxa" w:w="3360"/>
          </w:tcPr>
          <w:p>
            <w:pPr>
              <w:spacing w:after="40"/>
            </w:pPr>
            <w:r>
              <w:rPr>
                <w:sz w:val="16"/>
              </w:rPr>
              <w:t>Extract requirements, constraints and evaluation criteria.</w:t>
            </w:r>
          </w:p>
        </w:tc>
        <w:tc>
          <w:tcPr>
            <w:tcW w:type="dxa" w:w="3360"/>
          </w:tcPr>
          <w:p>
            <w:pPr>
              <w:spacing w:after="40"/>
            </w:pPr>
            <w:r>
              <w:rPr>
                <w:sz w:val="16"/>
              </w:rPr>
              <w:t>Requirement matrix with source references.</w:t>
            </w:r>
          </w:p>
        </w:tc>
      </w:tr>
      <w:tr>
        <w:tc>
          <w:tcPr>
            <w:tcW w:type="dxa" w:w="3360"/>
            <w:shd w:fill="F1F6F8"/>
          </w:tcPr>
          <w:p>
            <w:pPr>
              <w:spacing w:after="40"/>
            </w:pPr>
            <w:r>
              <w:rPr>
                <w:sz w:val="16"/>
              </w:rPr>
              <w:t>Financial Validation</w:t>
            </w:r>
          </w:p>
        </w:tc>
        <w:tc>
          <w:tcPr>
            <w:tcW w:type="dxa" w:w="3360"/>
            <w:shd w:fill="F1F6F8"/>
          </w:tcPr>
          <w:p>
            <w:pPr>
              <w:spacing w:after="40"/>
            </w:pPr>
            <w:r>
              <w:rPr>
                <w:sz w:val="16"/>
              </w:rPr>
              <w:t>Recalculate ROI, payback, savings, costs and totals.</w:t>
            </w:r>
          </w:p>
        </w:tc>
        <w:tc>
          <w:tcPr>
            <w:tcW w:type="dxa" w:w="3360"/>
            <w:shd w:fill="F1F6F8"/>
          </w:tcPr>
          <w:p>
            <w:pPr>
              <w:spacing w:after="40"/>
            </w:pPr>
            <w:r>
              <w:rPr>
                <w:sz w:val="16"/>
              </w:rPr>
              <w:t>Calculation checks and discrepancies.</w:t>
            </w:r>
          </w:p>
        </w:tc>
      </w:tr>
      <w:tr>
        <w:tc>
          <w:tcPr>
            <w:tcW w:type="dxa" w:w="3360"/>
          </w:tcPr>
          <w:p>
            <w:pPr>
              <w:spacing w:after="40"/>
            </w:pPr>
            <w:r>
              <w:rPr>
                <w:sz w:val="16"/>
              </w:rPr>
              <w:t>Evidence Consistency</w:t>
            </w:r>
          </w:p>
        </w:tc>
        <w:tc>
          <w:tcPr>
            <w:tcW w:type="dxa" w:w="3360"/>
          </w:tcPr>
          <w:p>
            <w:pPr>
              <w:spacing w:after="40"/>
            </w:pPr>
            <w:r>
              <w:rPr>
                <w:sz w:val="16"/>
              </w:rPr>
              <w:t>Compare claims across proposal, model and supporting documents.</w:t>
            </w:r>
          </w:p>
        </w:tc>
        <w:tc>
          <w:tcPr>
            <w:tcW w:type="dxa" w:w="3360"/>
          </w:tcPr>
          <w:p>
            <w:pPr>
              <w:spacing w:after="40"/>
            </w:pPr>
            <w:r>
              <w:rPr>
                <w:sz w:val="16"/>
              </w:rPr>
              <w:t>Unsupported claims and conflicting figures.</w:t>
            </w:r>
          </w:p>
        </w:tc>
      </w:tr>
      <w:tr>
        <w:tc>
          <w:tcPr>
            <w:tcW w:type="dxa" w:w="3360"/>
            <w:shd w:fill="F1F6F8"/>
          </w:tcPr>
          <w:p>
            <w:pPr>
              <w:spacing w:after="40"/>
            </w:pPr>
            <w:r>
              <w:rPr>
                <w:sz w:val="16"/>
              </w:rPr>
              <w:t>Delivery Feasibility</w:t>
            </w:r>
          </w:p>
        </w:tc>
        <w:tc>
          <w:tcPr>
            <w:tcW w:type="dxa" w:w="3360"/>
            <w:shd w:fill="F1F6F8"/>
          </w:tcPr>
          <w:p>
            <w:pPr>
              <w:spacing w:after="40"/>
            </w:pPr>
            <w:r>
              <w:rPr>
                <w:sz w:val="16"/>
              </w:rPr>
              <w:t>Check scope, milestones, staffing and dependencies.</w:t>
            </w:r>
          </w:p>
        </w:tc>
        <w:tc>
          <w:tcPr>
            <w:tcW w:type="dxa" w:w="3360"/>
            <w:shd w:fill="F1F6F8"/>
          </w:tcPr>
          <w:p>
            <w:pPr>
              <w:spacing w:after="40"/>
            </w:pPr>
            <w:r>
              <w:rPr>
                <w:sz w:val="16"/>
              </w:rPr>
              <w:t>Delivery-risk register for review.</w:t>
            </w:r>
          </w:p>
        </w:tc>
      </w:tr>
      <w:tr>
        <w:tc>
          <w:tcPr>
            <w:tcW w:type="dxa" w:w="3360"/>
          </w:tcPr>
          <w:p>
            <w:pPr>
              <w:spacing w:after="40"/>
            </w:pPr>
            <w:r>
              <w:rPr>
                <w:sz w:val="16"/>
              </w:rPr>
              <w:t>Review Workspace</w:t>
            </w:r>
          </w:p>
        </w:tc>
        <w:tc>
          <w:tcPr>
            <w:tcW w:type="dxa" w:w="3360"/>
          </w:tcPr>
          <w:p>
            <w:pPr>
              <w:spacing w:after="40"/>
            </w:pPr>
            <w:r>
              <w:rPr>
                <w:sz w:val="16"/>
              </w:rPr>
              <w:t>Prioritise issues and record reviewer disposition.</w:t>
            </w:r>
          </w:p>
        </w:tc>
        <w:tc>
          <w:tcPr>
            <w:tcW w:type="dxa" w:w="3360"/>
          </w:tcPr>
          <w:p>
            <w:pPr>
              <w:spacing w:after="40"/>
            </w:pPr>
            <w:r>
              <w:rPr>
                <w:sz w:val="16"/>
              </w:rPr>
              <w:t>Auditable proposal assurance report.</w:t>
            </w:r>
          </w:p>
        </w:tc>
      </w:tr>
    </w:tbl>
    <w:p/>
    <w:p>
      <w:pPr>
        <w:pStyle w:val="Heading2"/>
      </w:pPr>
      <w:r>
        <w:t>5. Proposed architecture</w:t>
      </w:r>
    </w:p>
    <w:p>
      <w:pPr>
        <w:jc w:val="center"/>
      </w:pPr>
      <w:r>
        <w:rPr>
          <w:b/>
        </w:rPr>
        <w:t>RFP + Proposal + Financial Model + Delivery Plan</w:t>
        <w:br/>
        <w:t>↓</w:t>
        <w:br/>
        <w:t>Document ingestion and validation</w:t>
        <w:br/>
        <w:t>↓</w:t>
        <w:br/>
        <w:t>Requirement extraction / evidence mapping</w:t>
        <w:br/>
        <w:t>↓</w:t>
        <w:br/>
        <w:t>Deterministic financial checks + consistency rules</w:t>
        <w:br/>
        <w:t>↓</w:t>
        <w:br/>
        <w:t>Risk scoring and source-linked findings</w:t>
        <w:br/>
        <w:t>↓</w:t>
        <w:br/>
        <w:t>Human review, sign-off and export</w:t>
      </w:r>
    </w:p>
    <w:p>
      <w:pPr>
        <w:pStyle w:val="Heading2"/>
      </w:pPr>
      <w:r>
        <w:t>6. POC scope</w:t>
      </w:r>
    </w:p>
    <w:p>
      <w:pPr>
        <w:pStyle w:val="ListBullet"/>
        <w:spacing w:after="40"/>
      </w:pPr>
      <w:r>
        <w:t>Use one fictional transformation RFP and synthetic financial assumptions.</w:t>
      </w:r>
    </w:p>
    <w:p>
      <w:pPr>
        <w:pStyle w:val="ListBullet"/>
        <w:spacing w:after="40"/>
      </w:pPr>
      <w:r>
        <w:t>Seed three known defects: overstated savings, mismatched total and infeasible dependency.</w:t>
      </w:r>
    </w:p>
    <w:p>
      <w:pPr>
        <w:pStyle w:val="ListBullet"/>
        <w:spacing w:after="40"/>
      </w:pPr>
      <w:r>
        <w:t>Extract requirements, independently recalculate key metrics and identify seeded defects.</w:t>
      </w:r>
    </w:p>
    <w:p>
      <w:pPr>
        <w:pStyle w:val="ListBullet"/>
        <w:spacing w:after="40"/>
      </w:pPr>
      <w:r>
        <w:t>Show source evidence, calculation logic, severity and suggested human review.</w:t>
      </w:r>
    </w:p>
    <w:p>
      <w:pPr>
        <w:pStyle w:val="ListBullet"/>
        <w:spacing w:after="40"/>
      </w:pPr>
      <w:r>
        <w:t>Measure accuracy, false positives, traceability and review time against a documented baseline.</w:t>
      </w:r>
    </w:p>
    <w:p>
      <w:pPr>
        <w:pStyle w:val="Heading1"/>
      </w:pPr>
      <w:r>
        <w:t>7. Technology stack</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Layer</w:t>
            </w:r>
          </w:p>
        </w:tc>
        <w:tc>
          <w:tcPr>
            <w:tcW w:type="dxa" w:w="3360"/>
            <w:shd w:fill="12304A"/>
          </w:tcPr>
          <w:p>
            <w:r>
              <w:rPr>
                <w:b/>
                <w:color w:val="FFFFFF"/>
                <w:sz w:val="17"/>
              </w:rPr>
              <w:t>Candidate technology</w:t>
            </w:r>
          </w:p>
        </w:tc>
        <w:tc>
          <w:tcPr>
            <w:tcW w:type="dxa" w:w="3360"/>
            <w:shd w:fill="12304A"/>
          </w:tcPr>
          <w:p>
            <w:r>
              <w:rPr>
                <w:b/>
                <w:color w:val="FFFFFF"/>
                <w:sz w:val="17"/>
              </w:rPr>
              <w:t>Notes</w:t>
            </w:r>
          </w:p>
        </w:tc>
      </w:tr>
      <w:tr>
        <w:tc>
          <w:tcPr>
            <w:tcW w:type="dxa" w:w="3360"/>
          </w:tcPr>
          <w:p>
            <w:pPr>
              <w:spacing w:after="40"/>
            </w:pPr>
            <w:r>
              <w:rPr>
                <w:sz w:val="16"/>
              </w:rPr>
              <w:t>Data processing</w:t>
            </w:r>
          </w:p>
        </w:tc>
        <w:tc>
          <w:tcPr>
            <w:tcW w:type="dxa" w:w="3360"/>
          </w:tcPr>
          <w:p>
            <w:pPr>
              <w:spacing w:after="40"/>
            </w:pPr>
            <w:r>
              <w:rPr>
                <w:sz w:val="16"/>
              </w:rPr>
              <w:t>Python, Pandas, document parsers</w:t>
            </w:r>
          </w:p>
        </w:tc>
        <w:tc>
          <w:tcPr>
            <w:tcW w:type="dxa" w:w="3360"/>
          </w:tcPr>
          <w:p>
            <w:pPr>
              <w:spacing w:after="40"/>
            </w:pPr>
            <w:r>
              <w:rPr>
                <w:sz w:val="16"/>
              </w:rPr>
              <w:t>Validate file types and schema.</w:t>
            </w:r>
          </w:p>
        </w:tc>
      </w:tr>
      <w:tr>
        <w:tc>
          <w:tcPr>
            <w:tcW w:type="dxa" w:w="3360"/>
            <w:shd w:fill="F1F6F8"/>
          </w:tcPr>
          <w:p>
            <w:pPr>
              <w:spacing w:after="40"/>
            </w:pPr>
            <w:r>
              <w:rPr>
                <w:sz w:val="16"/>
              </w:rPr>
              <w:t>API</w:t>
            </w:r>
          </w:p>
        </w:tc>
        <w:tc>
          <w:tcPr>
            <w:tcW w:type="dxa" w:w="3360"/>
            <w:shd w:fill="F1F6F8"/>
          </w:tcPr>
          <w:p>
            <w:pPr>
              <w:spacing w:after="40"/>
            </w:pPr>
            <w:r>
              <w:rPr>
                <w:sz w:val="16"/>
              </w:rPr>
              <w:t>FastAPI, Pydantic</w:t>
            </w:r>
          </w:p>
        </w:tc>
        <w:tc>
          <w:tcPr>
            <w:tcW w:type="dxa" w:w="3360"/>
            <w:shd w:fill="F1F6F8"/>
          </w:tcPr>
          <w:p>
            <w:pPr>
              <w:spacing w:after="40"/>
            </w:pPr>
            <w:r>
              <w:rPr>
                <w:sz w:val="16"/>
              </w:rPr>
              <w:t>Typed endpoints and input validation.</w:t>
            </w:r>
          </w:p>
        </w:tc>
      </w:tr>
      <w:tr>
        <w:tc>
          <w:tcPr>
            <w:tcW w:type="dxa" w:w="3360"/>
          </w:tcPr>
          <w:p>
            <w:pPr>
              <w:spacing w:after="40"/>
            </w:pPr>
            <w:r>
              <w:rPr>
                <w:sz w:val="16"/>
              </w:rPr>
              <w:t>Storage</w:t>
            </w:r>
          </w:p>
        </w:tc>
        <w:tc>
          <w:tcPr>
            <w:tcW w:type="dxa" w:w="3360"/>
          </w:tcPr>
          <w:p>
            <w:pPr>
              <w:spacing w:after="40"/>
            </w:pPr>
            <w:r>
              <w:rPr>
                <w:sz w:val="16"/>
              </w:rPr>
              <w:t>PostgreSQL or local files for demo</w:t>
            </w:r>
          </w:p>
        </w:tc>
        <w:tc>
          <w:tcPr>
            <w:tcW w:type="dxa" w:w="3360"/>
          </w:tcPr>
          <w:p>
            <w:pPr>
              <w:spacing w:after="40"/>
            </w:pPr>
            <w:r>
              <w:rPr>
                <w:sz w:val="16"/>
              </w:rPr>
              <w:t>Store findings and audit events.</w:t>
            </w:r>
          </w:p>
        </w:tc>
      </w:tr>
      <w:tr>
        <w:tc>
          <w:tcPr>
            <w:tcW w:type="dxa" w:w="3360"/>
            <w:shd w:fill="F1F6F8"/>
          </w:tcPr>
          <w:p>
            <w:pPr>
              <w:spacing w:after="40"/>
            </w:pPr>
            <w:r>
              <w:rPr>
                <w:sz w:val="16"/>
              </w:rPr>
              <w:t>UI</w:t>
            </w:r>
          </w:p>
        </w:tc>
        <w:tc>
          <w:tcPr>
            <w:tcW w:type="dxa" w:w="3360"/>
            <w:shd w:fill="F1F6F8"/>
          </w:tcPr>
          <w:p>
            <w:pPr>
              <w:spacing w:after="40"/>
            </w:pPr>
            <w:r>
              <w:rPr>
                <w:sz w:val="16"/>
              </w:rPr>
              <w:t>Streamlit for POC</w:t>
            </w:r>
          </w:p>
        </w:tc>
        <w:tc>
          <w:tcPr>
            <w:tcW w:type="dxa" w:w="3360"/>
            <w:shd w:fill="F1F6F8"/>
          </w:tcPr>
          <w:p>
            <w:pPr>
              <w:spacing w:after="40"/>
            </w:pPr>
            <w:r>
              <w:rPr>
                <w:sz w:val="16"/>
              </w:rPr>
              <w:t>Fast path to reviewer dashboard.</w:t>
            </w:r>
          </w:p>
        </w:tc>
      </w:tr>
      <w:tr>
        <w:tc>
          <w:tcPr>
            <w:tcW w:type="dxa" w:w="3360"/>
          </w:tcPr>
          <w:p>
            <w:pPr>
              <w:spacing w:after="40"/>
            </w:pPr>
            <w:r>
              <w:rPr>
                <w:sz w:val="16"/>
              </w:rPr>
              <w:t>AI</w:t>
            </w:r>
          </w:p>
        </w:tc>
        <w:tc>
          <w:tcPr>
            <w:tcW w:type="dxa" w:w="3360"/>
          </w:tcPr>
          <w:p>
            <w:pPr>
              <w:spacing w:after="40"/>
            </w:pPr>
            <w:r>
              <w:rPr>
                <w:sz w:val="16"/>
              </w:rPr>
              <w:t>Approved LLM + retrieval where useful</w:t>
            </w:r>
          </w:p>
        </w:tc>
        <w:tc>
          <w:tcPr>
            <w:tcW w:type="dxa" w:w="3360"/>
          </w:tcPr>
          <w:p>
            <w:pPr>
              <w:spacing w:after="40"/>
            </w:pPr>
            <w:r>
              <w:rPr>
                <w:sz w:val="16"/>
              </w:rPr>
              <w:t>Extraction/summarisation only; deterministic arithmetic checks.</w:t>
            </w:r>
          </w:p>
        </w:tc>
      </w:tr>
      <w:tr>
        <w:tc>
          <w:tcPr>
            <w:tcW w:type="dxa" w:w="3360"/>
            <w:shd w:fill="F1F6F8"/>
          </w:tcPr>
          <w:p>
            <w:pPr>
              <w:spacing w:after="40"/>
            </w:pPr>
            <w:r>
              <w:rPr>
                <w:sz w:val="16"/>
              </w:rPr>
              <w:t>Validation</w:t>
            </w:r>
          </w:p>
        </w:tc>
        <w:tc>
          <w:tcPr>
            <w:tcW w:type="dxa" w:w="3360"/>
            <w:shd w:fill="F1F6F8"/>
          </w:tcPr>
          <w:p>
            <w:pPr>
              <w:spacing w:after="40"/>
            </w:pPr>
            <w:r>
              <w:rPr>
                <w:sz w:val="16"/>
              </w:rPr>
              <w:t>Python rules, Decimal arithmetic, pytest</w:t>
            </w:r>
          </w:p>
        </w:tc>
        <w:tc>
          <w:tcPr>
            <w:tcW w:type="dxa" w:w="3360"/>
            <w:shd w:fill="F1F6F8"/>
          </w:tcPr>
          <w:p>
            <w:pPr>
              <w:spacing w:after="40"/>
            </w:pPr>
            <w:r>
              <w:rPr>
                <w:sz w:val="16"/>
              </w:rPr>
              <w:t>Reproducible checks and regression tests.</w:t>
            </w:r>
          </w:p>
        </w:tc>
      </w:tr>
    </w:tbl>
    <w:p/>
    <w:p>
      <w:pPr>
        <w:pStyle w:val="Heading1"/>
      </w:pPr>
      <w:r>
        <w:t>8. Business value and commercial model</w:t>
      </w:r>
    </w:p>
    <w:p>
      <w:pPr>
        <w:pStyle w:val="Heading2"/>
      </w:pPr>
    </w:p>
    <w:p>
      <w:r>
        <w:t>Value hypothesis: reduce manual validation effort, improve consistency and surface commercial/delivery risks earlier. Potential monetisation includes annual enterprise subscriptions, integration fees and managed proposal-validation services. Pricing and willingness to pay require buyer validation.</w:t>
      </w:r>
    </w:p>
    <w:p>
      <w:pPr>
        <w:pStyle w:val="Heading1"/>
      </w:pPr>
      <w:r>
        <w:t>9. Differentiation and risks</w:t>
      </w:r>
    </w:p>
    <w:p>
      <w:pPr>
        <w:pStyle w:val="Heading2"/>
      </w:pPr>
    </w:p>
    <w:p>
      <w:pPr>
        <w:pStyle w:val="ListBullet"/>
        <w:spacing w:after="40"/>
      </w:pPr>
      <w:r>
        <w:t>Position Atlas as a financial-and-delivery integrity layer, not a generic proposal writer.</w:t>
      </w:r>
    </w:p>
    <w:p>
      <w:pPr>
        <w:pStyle w:val="ListBullet"/>
        <w:spacing w:after="40"/>
      </w:pPr>
      <w:r>
        <w:t>Check overlap with existing EXL tools and business offerings before submission.</w:t>
      </w:r>
    </w:p>
    <w:p>
      <w:pPr>
        <w:pStyle w:val="ListBullet"/>
        <w:spacing w:after="40"/>
      </w:pPr>
      <w:r>
        <w:t>Use synthetic data in the POC; protect confidential or privileged proposal material.</w:t>
      </w:r>
    </w:p>
    <w:p>
      <w:pPr>
        <w:pStyle w:val="ListBullet"/>
        <w:spacing w:after="40"/>
      </w:pPr>
      <w:r>
        <w:t>Require human approval for material assumptions and final submissions.</w:t>
      </w:r>
    </w:p>
    <w:p>
      <w:pPr>
        <w:pStyle w:val="ListBullet"/>
        <w:spacing w:after="40"/>
      </w:pPr>
      <w:r>
        <w:t>Measure outcomes against a baseline; do not assume saved time equals cash savings.</w:t>
      </w:r>
    </w:p>
    <w:p>
      <w:pPr>
        <w:pStyle w:val="Heading1"/>
      </w:pPr>
      <w:r>
        <w:t>10. IdeaTank submission summary</w:t>
      </w:r>
    </w:p>
    <w:p>
      <w:pPr>
        <w:pStyle w:val="Heading2"/>
      </w:pPr>
    </w:p>
    <w:p>
      <w:r>
        <w:t>Project Atlas is an AI-assisted proposal assurance platform that connects RFP requirements, financial assumptions, evidence and delivery plans. It identifies inconsistencies and unsupported claims using source-linked evidence and deterministic checks, helping teams review high-value proposals more consistently before submission. The initial POC will use synthetic data to demonstrate requirement mapping, financial recalculation and detection of seeded commercial and delivery risks.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7A"/>
        <w:sz w:val="16"/>
      </w:rPr>
      <w:t>EXL IDEATANK • CONCEPT DRAFT • 29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