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87E8B"/>
          <w:sz w:val="24"/>
        </w:rPr>
        <w:t>EXL IDEATANK</w:t>
        <w:br/>
      </w:r>
      <w:r>
        <w:rPr>
          <w:b/>
          <w:color w:val="12304A"/>
          <w:sz w:val="48"/>
        </w:rPr>
        <w:t>PROJECT VELA</w:t>
      </w:r>
    </w:p>
    <w:p>
      <w:pPr>
        <w:jc w:val="center"/>
      </w:pPr>
      <w:r>
        <w:rPr>
          <w:i/>
        </w:rPr>
        <w:t>Renewable-Energy Cyber Risk &amp; Energy-Loss Intelligence</w:t>
      </w:r>
    </w:p>
    <w:p>
      <w:pPr>
        <w:jc w:val="center"/>
      </w:pPr>
      <w:r>
        <w:t>Concept proposal for internal evaluation • 29 October 2026</w:t>
      </w:r>
    </w:p>
    <w:p>
      <w:pPr>
        <w:pStyle w:val="Heading1"/>
      </w:pPr>
      <w:r>
        <w:t>1. Executive summary</w:t>
      </w:r>
    </w:p>
    <w:p>
      <w:pPr>
        <w:pStyle w:val="Heading2"/>
      </w:pPr>
    </w:p>
    <w:p>
      <w:r>
        <w:t>Vela is a proposed software-only intelligence layer that correlates renewable asset inventory, cybersecurity indicators and energy-generation anomalies to help operators prioritise investigations. The initial POC is solar-first, uses synthetic data, and has no hardware integration, live grid connection or autonomous control.</w:t>
      </w:r>
    </w:p>
    <w:p>
      <w:pPr>
        <w:pStyle w:val="Heading1"/>
      </w:pPr>
      <w:r>
        <w:t>2. Problem statement</w:t>
      </w:r>
    </w:p>
    <w:p>
      <w:pPr>
        <w:pStyle w:val="Heading2"/>
      </w:pPr>
    </w:p>
    <w:p>
      <w:r>
        <w:t>Solar operators may need to reconcile asset, firmware, vulnerability, access/configuration and generation data across separate systems. A generation drop does not prove a cyberattack; weather, faults, curtailment, maintenance and data-quality issues can produce similar symptoms. Security findings need operational context.</w:t>
      </w:r>
    </w:p>
    <w:p>
      <w:pPr>
        <w:pStyle w:val="Heading1"/>
      </w:pPr>
      <w:r>
        <w:t>3. Proposed solution</w:t>
      </w:r>
    </w:p>
    <w:p>
      <w:pPr>
        <w:pStyle w:val="Heading2"/>
      </w:pPr>
    </w:p>
    <w:p>
      <w:r>
        <w:t>Vela normalises approved or synthetic datasets, flags cyber and operational indicators, correlates them by asset and time window, estimates potential energy impact, and provides evidence-linked, human-reviewed investigation priorities. It is a triage layer, not a replacement for SCADA, SIEM, SOC or specialist OT-security platforms.</w:t>
      </w:r>
    </w:p>
    <w:p>
      <w:pPr>
        <w:pStyle w:val="Heading1"/>
      </w:pPr>
      <w:r>
        <w:t>4. Scope and modules</w:t>
      </w:r>
    </w:p>
    <w:tbl>
      <w:tblPr>
        <w:tblStyle w:val="TableGrid"/>
        <w:tblW w:type="auto" w:w="0"/>
        <w:tblLook w:firstColumn="1" w:firstRow="1" w:lastColumn="0" w:lastRow="0" w:noHBand="0" w:noVBand="1" w:val="04A0"/>
      </w:tblPr>
      <w:tblGrid>
        <w:gridCol w:w="3360"/>
        <w:gridCol w:w="3360"/>
        <w:gridCol w:w="3360"/>
      </w:tblGrid>
      <w:tr>
        <w:tc>
          <w:tcPr>
            <w:tcW w:type="dxa" w:w="3360"/>
            <w:shd w:fill="12304A"/>
          </w:tcPr>
          <w:p>
            <w:r>
              <w:rPr>
                <w:b/>
                <w:color w:val="FFFFFF"/>
                <w:sz w:val="17"/>
              </w:rPr>
              <w:t>Module</w:t>
            </w:r>
          </w:p>
        </w:tc>
        <w:tc>
          <w:tcPr>
            <w:tcW w:type="dxa" w:w="3360"/>
            <w:shd w:fill="12304A"/>
          </w:tcPr>
          <w:p>
            <w:r>
              <w:rPr>
                <w:b/>
                <w:color w:val="FFFFFF"/>
                <w:sz w:val="17"/>
              </w:rPr>
              <w:t>POC capability</w:t>
            </w:r>
          </w:p>
        </w:tc>
        <w:tc>
          <w:tcPr>
            <w:tcW w:type="dxa" w:w="3360"/>
            <w:shd w:fill="12304A"/>
          </w:tcPr>
          <w:p>
            <w:r>
              <w:rPr>
                <w:b/>
                <w:color w:val="FFFFFF"/>
                <w:sz w:val="17"/>
              </w:rPr>
              <w:t>Boundary</w:t>
            </w:r>
          </w:p>
        </w:tc>
      </w:tr>
      <w:tr>
        <w:tc>
          <w:tcPr>
            <w:tcW w:type="dxa" w:w="3360"/>
          </w:tcPr>
          <w:p>
            <w:pPr>
              <w:spacing w:after="40"/>
            </w:pPr>
            <w:r>
              <w:rPr>
                <w:sz w:val="16"/>
              </w:rPr>
              <w:t>Solar Asset Intelligence</w:t>
            </w:r>
          </w:p>
        </w:tc>
        <w:tc>
          <w:tcPr>
            <w:tcW w:type="dxa" w:w="3360"/>
          </w:tcPr>
          <w:p>
            <w:pPr>
              <w:spacing w:after="40"/>
            </w:pPr>
            <w:r>
              <w:rPr>
                <w:sz w:val="16"/>
              </w:rPr>
              <w:t>Inventory of sites, inverters, firmware, criticality and dependencies.</w:t>
            </w:r>
          </w:p>
        </w:tc>
        <w:tc>
          <w:tcPr>
            <w:tcW w:type="dxa" w:w="3360"/>
          </w:tcPr>
          <w:p>
            <w:pPr>
              <w:spacing w:after="40"/>
            </w:pPr>
            <w:r>
              <w:rPr>
                <w:sz w:val="16"/>
              </w:rPr>
              <w:t>No live device discovery.</w:t>
            </w:r>
          </w:p>
        </w:tc>
      </w:tr>
      <w:tr>
        <w:tc>
          <w:tcPr>
            <w:tcW w:type="dxa" w:w="3360"/>
            <w:shd w:fill="F1F6F8"/>
          </w:tcPr>
          <w:p>
            <w:pPr>
              <w:spacing w:after="40"/>
            </w:pPr>
            <w:r>
              <w:rPr>
                <w:sz w:val="16"/>
              </w:rPr>
              <w:t>Cyber Risk Intelligence</w:t>
            </w:r>
          </w:p>
        </w:tc>
        <w:tc>
          <w:tcPr>
            <w:tcW w:type="dxa" w:w="3360"/>
            <w:shd w:fill="F1F6F8"/>
          </w:tcPr>
          <w:p>
            <w:pPr>
              <w:spacing w:after="40"/>
            </w:pPr>
            <w:r>
              <w:rPr>
                <w:sz w:val="16"/>
              </w:rPr>
              <w:t>Review synthetic vulnerability, access and configuration records.</w:t>
            </w:r>
          </w:p>
        </w:tc>
        <w:tc>
          <w:tcPr>
            <w:tcW w:type="dxa" w:w="3360"/>
            <w:shd w:fill="F1F6F8"/>
          </w:tcPr>
          <w:p>
            <w:pPr>
              <w:spacing w:after="40"/>
            </w:pPr>
            <w:r>
              <w:rPr>
                <w:sz w:val="16"/>
              </w:rPr>
              <w:t>Not live threat detection.</w:t>
            </w:r>
          </w:p>
        </w:tc>
      </w:tr>
      <w:tr>
        <w:tc>
          <w:tcPr>
            <w:tcW w:type="dxa" w:w="3360"/>
          </w:tcPr>
          <w:p>
            <w:pPr>
              <w:spacing w:after="40"/>
            </w:pPr>
            <w:r>
              <w:rPr>
                <w:sz w:val="16"/>
              </w:rPr>
              <w:t>Energy Anomaly Intelligence</w:t>
            </w:r>
          </w:p>
        </w:tc>
        <w:tc>
          <w:tcPr>
            <w:tcW w:type="dxa" w:w="3360"/>
          </w:tcPr>
          <w:p>
            <w:pPr>
              <w:spacing w:after="40"/>
            </w:pPr>
            <w:r>
              <w:rPr>
                <w:sz w:val="16"/>
              </w:rPr>
              <w:t>Compare expected vs observed generation; estimate potential lost kWh.</w:t>
            </w:r>
          </w:p>
        </w:tc>
        <w:tc>
          <w:tcPr>
            <w:tcW w:type="dxa" w:w="3360"/>
          </w:tcPr>
          <w:p>
            <w:pPr>
              <w:spacing w:after="40"/>
            </w:pPr>
            <w:r>
              <w:rPr>
                <w:sz w:val="16"/>
              </w:rPr>
              <w:t>Anomaly alone does not prove cyber cause.</w:t>
            </w:r>
          </w:p>
        </w:tc>
      </w:tr>
      <w:tr>
        <w:tc>
          <w:tcPr>
            <w:tcW w:type="dxa" w:w="3360"/>
            <w:shd w:fill="F1F6F8"/>
          </w:tcPr>
          <w:p>
            <w:pPr>
              <w:spacing w:after="40"/>
            </w:pPr>
            <w:r>
              <w:rPr>
                <w:sz w:val="16"/>
              </w:rPr>
              <w:t>Correlation Engine</w:t>
            </w:r>
          </w:p>
        </w:tc>
        <w:tc>
          <w:tcPr>
            <w:tcW w:type="dxa" w:w="3360"/>
            <w:shd w:fill="F1F6F8"/>
          </w:tcPr>
          <w:p>
            <w:pPr>
              <w:spacing w:after="40"/>
            </w:pPr>
            <w:r>
              <w:rPr>
                <w:sz w:val="16"/>
              </w:rPr>
              <w:t>Combine time-aligned indicators and asset dependencies.</w:t>
            </w:r>
          </w:p>
        </w:tc>
        <w:tc>
          <w:tcPr>
            <w:tcW w:type="dxa" w:w="3360"/>
            <w:shd w:fill="F1F6F8"/>
          </w:tcPr>
          <w:p>
            <w:pPr>
              <w:spacing w:after="40"/>
            </w:pPr>
            <w:r>
              <w:rPr>
                <w:sz w:val="16"/>
              </w:rPr>
              <w:t>Transparent scoring, not attack probability.</w:t>
            </w:r>
          </w:p>
        </w:tc>
      </w:tr>
      <w:tr>
        <w:tc>
          <w:tcPr>
            <w:tcW w:type="dxa" w:w="3360"/>
          </w:tcPr>
          <w:p>
            <w:pPr>
              <w:spacing w:after="40"/>
            </w:pPr>
            <w:r>
              <w:rPr>
                <w:sz w:val="16"/>
              </w:rPr>
              <w:t>Data &amp; AI Security</w:t>
            </w:r>
          </w:p>
        </w:tc>
        <w:tc>
          <w:tcPr>
            <w:tcW w:type="dxa" w:w="3360"/>
          </w:tcPr>
          <w:p>
            <w:pPr>
              <w:spacing w:after="40"/>
            </w:pPr>
            <w:r>
              <w:rPr>
                <w:sz w:val="16"/>
              </w:rPr>
              <w:t>Check sample data policies and simulated agent permissions.</w:t>
            </w:r>
          </w:p>
        </w:tc>
        <w:tc>
          <w:tcPr>
            <w:tcW w:type="dxa" w:w="3360"/>
          </w:tcPr>
          <w:p>
            <w:pPr>
              <w:spacing w:after="40"/>
            </w:pPr>
            <w:r>
              <w:rPr>
                <w:sz w:val="16"/>
              </w:rPr>
              <w:t>Synthetic scenarios; no autonomous commands.</w:t>
            </w:r>
          </w:p>
        </w:tc>
      </w:tr>
      <w:tr>
        <w:tc>
          <w:tcPr>
            <w:tcW w:type="dxa" w:w="3360"/>
            <w:shd w:fill="F1F6F8"/>
          </w:tcPr>
          <w:p>
            <w:pPr>
              <w:spacing w:after="40"/>
            </w:pPr>
            <w:r>
              <w:rPr>
                <w:sz w:val="16"/>
              </w:rPr>
              <w:t>Dashboard</w:t>
            </w:r>
          </w:p>
        </w:tc>
        <w:tc>
          <w:tcPr>
            <w:tcW w:type="dxa" w:w="3360"/>
            <w:shd w:fill="F1F6F8"/>
          </w:tcPr>
          <w:p>
            <w:pPr>
              <w:spacing w:after="40"/>
            </w:pPr>
            <w:r>
              <w:rPr>
                <w:sz w:val="16"/>
              </w:rPr>
              <w:t>Evidence, priority, uncertainty and recommended checks.</w:t>
            </w:r>
          </w:p>
        </w:tc>
        <w:tc>
          <w:tcPr>
            <w:tcW w:type="dxa" w:w="3360"/>
            <w:shd w:fill="F1F6F8"/>
          </w:tcPr>
          <w:p>
            <w:pPr>
              <w:spacing w:after="40"/>
            </w:pPr>
            <w:r>
              <w:rPr>
                <w:sz w:val="16"/>
              </w:rPr>
              <w:t>Human review required.</w:t>
            </w:r>
          </w:p>
        </w:tc>
      </w:tr>
    </w:tbl>
    <w:p/>
    <w:p>
      <w:pPr>
        <w:pStyle w:val="Heading2"/>
      </w:pPr>
      <w:r>
        <w:t>5. Architecture</w:t>
      </w:r>
    </w:p>
    <w:p>
      <w:pPr>
        <w:jc w:val="center"/>
      </w:pPr>
      <w:r>
        <w:rPr>
          <w:b/>
        </w:rPr>
        <w:t>Synthetic solar inventory + vulnerability records + event logs + generation series</w:t>
        <w:br/>
        <w:t>↓</w:t>
        <w:br/>
        <w:t>Ingestion, schema validation and timestamp normalisation</w:t>
        <w:br/>
        <w:t>↓</w:t>
        <w:br/>
        <w:t>Normalised asset / findings / time-series store</w:t>
        <w:br/>
        <w:t>↓</w:t>
        <w:br/>
        <w:t>Security rules + anomaly detection + dependency mapping</w:t>
        <w:br/>
        <w:t>↓</w:t>
        <w:br/>
        <w:t>Correlation, impact estimate, confidence and alternatives</w:t>
        <w:br/>
        <w:t>↓</w:t>
        <w:br/>
        <w:t>Human-reviewed case dashboard and report</w:t>
      </w:r>
    </w:p>
    <w:p>
      <w:pPr>
        <w:pStyle w:val="Heading1"/>
      </w:pPr>
      <w:r>
        <w:t>6. Data access strategy</w:t>
      </w:r>
    </w:p>
    <w:p>
      <w:pPr>
        <w:pStyle w:val="Heading2"/>
      </w:pPr>
    </w:p>
    <w:p>
      <w:r>
        <w:t>For the IdeaTank POC, generate synthetic data; do not seek access to live operational or critical-infrastructure data. For a later pilot, obtain customer authorisation and complete security review before handling real datasets.</w:t>
      </w:r>
    </w:p>
    <w:p>
      <w:pPr>
        <w:pStyle w:val="Heading1"/>
      </w:pPr>
      <w:r>
        <w:t>7. Data sources and access paths</w:t>
      </w:r>
    </w:p>
    <w:tbl>
      <w:tblPr>
        <w:tblStyle w:val="TableGrid"/>
        <w:tblW w:type="auto" w:w="0"/>
        <w:tblLook w:firstColumn="1" w:firstRow="1" w:lastColumn="0" w:lastRow="0" w:noHBand="0" w:noVBand="1" w:val="04A0"/>
      </w:tblPr>
      <w:tblGrid>
        <w:gridCol w:w="3360"/>
        <w:gridCol w:w="3360"/>
        <w:gridCol w:w="3360"/>
      </w:tblGrid>
      <w:tr>
        <w:tc>
          <w:tcPr>
            <w:tcW w:type="dxa" w:w="3360"/>
            <w:shd w:fill="12304A"/>
          </w:tcPr>
          <w:p>
            <w:r>
              <w:rPr>
                <w:b/>
                <w:color w:val="FFFFFF"/>
                <w:sz w:val="17"/>
              </w:rPr>
              <w:t>Data category</w:t>
            </w:r>
          </w:p>
        </w:tc>
        <w:tc>
          <w:tcPr>
            <w:tcW w:type="dxa" w:w="3360"/>
            <w:shd w:fill="12304A"/>
          </w:tcPr>
          <w:p>
            <w:r>
              <w:rPr>
                <w:b/>
                <w:color w:val="FFFFFF"/>
                <w:sz w:val="17"/>
              </w:rPr>
              <w:t>Potential source/access path</w:t>
            </w:r>
          </w:p>
        </w:tc>
        <w:tc>
          <w:tcPr>
            <w:tcW w:type="dxa" w:w="3360"/>
            <w:shd w:fill="12304A"/>
          </w:tcPr>
          <w:p>
            <w:r>
              <w:rPr>
                <w:b/>
                <w:color w:val="FFFFFF"/>
                <w:sz w:val="17"/>
              </w:rPr>
              <w:t>Safe approach</w:t>
            </w:r>
          </w:p>
        </w:tc>
      </w:tr>
      <w:tr>
        <w:tc>
          <w:tcPr>
            <w:tcW w:type="dxa" w:w="3360"/>
          </w:tcPr>
          <w:p>
            <w:pPr>
              <w:spacing w:after="40"/>
            </w:pPr>
            <w:r>
              <w:rPr>
                <w:sz w:val="16"/>
              </w:rPr>
              <w:t>Asset inventory</w:t>
            </w:r>
          </w:p>
        </w:tc>
        <w:tc>
          <w:tcPr>
            <w:tcW w:type="dxa" w:w="3360"/>
          </w:tcPr>
          <w:p>
            <w:pPr>
              <w:spacing w:after="40"/>
            </w:pPr>
            <w:r>
              <w:rPr>
                <w:sz w:val="16"/>
              </w:rPr>
              <w:t>Operator asset register/CMDB or authorised CSV</w:t>
            </w:r>
          </w:p>
        </w:tc>
        <w:tc>
          <w:tcPr>
            <w:tcW w:type="dxa" w:w="3360"/>
          </w:tcPr>
          <w:p>
            <w:pPr>
              <w:spacing w:after="40"/>
            </w:pPr>
            <w:r>
              <w:rPr>
                <w:sz w:val="16"/>
              </w:rPr>
              <w:t>Asset IDs, type, firmware, criticality and dependencies; minimise identifiers.</w:t>
            </w:r>
          </w:p>
        </w:tc>
      </w:tr>
      <w:tr>
        <w:tc>
          <w:tcPr>
            <w:tcW w:type="dxa" w:w="3360"/>
            <w:shd w:fill="F1F6F8"/>
          </w:tcPr>
          <w:p>
            <w:pPr>
              <w:spacing w:after="40"/>
            </w:pPr>
            <w:r>
              <w:rPr>
                <w:sz w:val="16"/>
              </w:rPr>
              <w:t>Vulnerability/configuration</w:t>
            </w:r>
          </w:p>
        </w:tc>
        <w:tc>
          <w:tcPr>
            <w:tcW w:type="dxa" w:w="3360"/>
            <w:shd w:fill="F1F6F8"/>
          </w:tcPr>
          <w:p>
            <w:pPr>
              <w:spacing w:after="40"/>
            </w:pPr>
            <w:r>
              <w:rPr>
                <w:sz w:val="16"/>
              </w:rPr>
              <w:t>Approved scanner exports, configuration assessments or curated advisories</w:t>
            </w:r>
          </w:p>
        </w:tc>
        <w:tc>
          <w:tcPr>
            <w:tcW w:type="dxa" w:w="3360"/>
            <w:shd w:fill="F1F6F8"/>
          </w:tcPr>
          <w:p>
            <w:pPr>
              <w:spacing w:after="40"/>
            </w:pPr>
            <w:r>
              <w:rPr>
                <w:sz w:val="16"/>
              </w:rPr>
              <w:t>Read-only export; record source and timestamp; no live probing.</w:t>
            </w:r>
          </w:p>
        </w:tc>
      </w:tr>
      <w:tr>
        <w:tc>
          <w:tcPr>
            <w:tcW w:type="dxa" w:w="3360"/>
          </w:tcPr>
          <w:p>
            <w:pPr>
              <w:spacing w:after="40"/>
            </w:pPr>
            <w:r>
              <w:rPr>
                <w:sz w:val="16"/>
              </w:rPr>
              <w:t>Security events</w:t>
            </w:r>
          </w:p>
        </w:tc>
        <w:tc>
          <w:tcPr>
            <w:tcW w:type="dxa" w:w="3360"/>
          </w:tcPr>
          <w:p>
            <w:pPr>
              <w:spacing w:after="40"/>
            </w:pPr>
            <w:r>
              <w:rPr>
                <w:sz w:val="16"/>
              </w:rPr>
              <w:t>Authorised SIEM export or sanitised incident records</w:t>
            </w:r>
          </w:p>
        </w:tc>
        <w:tc>
          <w:tcPr>
            <w:tcW w:type="dxa" w:w="3360"/>
          </w:tcPr>
          <w:p>
            <w:pPr>
              <w:spacing w:after="40"/>
            </w:pPr>
            <w:r>
              <w:rPr>
                <w:sz w:val="16"/>
              </w:rPr>
              <w:t>Pseudonymise identities; exclude credentials/secrets.</w:t>
            </w:r>
          </w:p>
        </w:tc>
      </w:tr>
      <w:tr>
        <w:tc>
          <w:tcPr>
            <w:tcW w:type="dxa" w:w="3360"/>
            <w:shd w:fill="F1F6F8"/>
          </w:tcPr>
          <w:p>
            <w:pPr>
              <w:spacing w:after="40"/>
            </w:pPr>
            <w:r>
              <w:rPr>
                <w:sz w:val="16"/>
              </w:rPr>
              <w:t>Generation/performance</w:t>
            </w:r>
          </w:p>
        </w:tc>
        <w:tc>
          <w:tcPr>
            <w:tcW w:type="dxa" w:w="3360"/>
            <w:shd w:fill="F1F6F8"/>
          </w:tcPr>
          <w:p>
            <w:pPr>
              <w:spacing w:after="40"/>
            </w:pPr>
            <w:r>
              <w:rPr>
                <w:sz w:val="16"/>
              </w:rPr>
              <w:t>Approved historian/monitoring export or synthetic time series</w:t>
            </w:r>
          </w:p>
        </w:tc>
        <w:tc>
          <w:tcPr>
            <w:tcW w:type="dxa" w:w="3360"/>
            <w:shd w:fill="F1F6F8"/>
          </w:tcPr>
          <w:p>
            <w:pPr>
              <w:spacing w:after="40"/>
            </w:pPr>
            <w:r>
              <w:rPr>
                <w:sz w:val="16"/>
              </w:rPr>
              <w:t>Interval generation and relevant context; no control credentials.</w:t>
            </w:r>
          </w:p>
        </w:tc>
      </w:tr>
      <w:tr>
        <w:tc>
          <w:tcPr>
            <w:tcW w:type="dxa" w:w="3360"/>
          </w:tcPr>
          <w:p>
            <w:pPr>
              <w:spacing w:after="40"/>
            </w:pPr>
            <w:r>
              <w:rPr>
                <w:sz w:val="16"/>
              </w:rPr>
              <w:t>Weather/irradiance</w:t>
            </w:r>
          </w:p>
        </w:tc>
        <w:tc>
          <w:tcPr>
            <w:tcW w:type="dxa" w:w="3360"/>
          </w:tcPr>
          <w:p>
            <w:pPr>
              <w:spacing w:after="40"/>
            </w:pPr>
            <w:r>
              <w:rPr>
                <w:sz w:val="16"/>
              </w:rPr>
              <w:t>Public weather datasets or approved customer data</w:t>
            </w:r>
          </w:p>
        </w:tc>
        <w:tc>
          <w:tcPr>
            <w:tcW w:type="dxa" w:w="3360"/>
          </w:tcPr>
          <w:p>
            <w:pPr>
              <w:spacing w:after="40"/>
            </w:pPr>
            <w:r>
              <w:rPr>
                <w:sz w:val="16"/>
              </w:rPr>
              <w:t>Use to reduce false attribution.</w:t>
            </w:r>
          </w:p>
        </w:tc>
      </w:tr>
      <w:tr>
        <w:tc>
          <w:tcPr>
            <w:tcW w:type="dxa" w:w="3360"/>
            <w:shd w:fill="F1F6F8"/>
          </w:tcPr>
          <w:p>
            <w:pPr>
              <w:spacing w:after="40"/>
            </w:pPr>
            <w:r>
              <w:rPr>
                <w:sz w:val="16"/>
              </w:rPr>
              <w:t>AI agent controls</w:t>
            </w:r>
          </w:p>
        </w:tc>
        <w:tc>
          <w:tcPr>
            <w:tcW w:type="dxa" w:w="3360"/>
            <w:shd w:fill="F1F6F8"/>
          </w:tcPr>
          <w:p>
            <w:pPr>
              <w:spacing w:after="40"/>
            </w:pPr>
            <w:r>
              <w:rPr>
                <w:sz w:val="16"/>
              </w:rPr>
              <w:t>Simulated agent logs, policies and tool definitions</w:t>
            </w:r>
          </w:p>
        </w:tc>
        <w:tc>
          <w:tcPr>
            <w:tcW w:type="dxa" w:w="3360"/>
            <w:shd w:fill="F1F6F8"/>
          </w:tcPr>
          <w:p>
            <w:pPr>
              <w:spacing w:after="40"/>
            </w:pPr>
            <w:r>
              <w:rPr>
                <w:sz w:val="16"/>
              </w:rPr>
              <w:t>Test in isolated sandbox only.</w:t>
            </w:r>
          </w:p>
        </w:tc>
      </w:tr>
    </w:tbl>
    <w:p/>
    <w:p>
      <w:pPr>
        <w:pStyle w:val="Heading1"/>
      </w:pPr>
      <w:r>
        <w:t>8. Technology stack</w:t>
      </w:r>
    </w:p>
    <w:tbl>
      <w:tblPr>
        <w:tblStyle w:val="TableGrid"/>
        <w:tblW w:type="auto" w:w="0"/>
        <w:tblLook w:firstColumn="1" w:firstRow="1" w:lastColumn="0" w:lastRow="0" w:noHBand="0" w:noVBand="1" w:val="04A0"/>
      </w:tblPr>
      <w:tblGrid>
        <w:gridCol w:w="3360"/>
        <w:gridCol w:w="3360"/>
        <w:gridCol w:w="3360"/>
      </w:tblGrid>
      <w:tr>
        <w:tc>
          <w:tcPr>
            <w:tcW w:type="dxa" w:w="3360"/>
            <w:shd w:fill="12304A"/>
          </w:tcPr>
          <w:p>
            <w:r>
              <w:rPr>
                <w:b/>
                <w:color w:val="FFFFFF"/>
                <w:sz w:val="17"/>
              </w:rPr>
              <w:t>Layer</w:t>
            </w:r>
          </w:p>
        </w:tc>
        <w:tc>
          <w:tcPr>
            <w:tcW w:type="dxa" w:w="3360"/>
            <w:shd w:fill="12304A"/>
          </w:tcPr>
          <w:p>
            <w:r>
              <w:rPr>
                <w:b/>
                <w:color w:val="FFFFFF"/>
                <w:sz w:val="17"/>
              </w:rPr>
              <w:t>Candidate stack</w:t>
            </w:r>
          </w:p>
        </w:tc>
        <w:tc>
          <w:tcPr>
            <w:tcW w:type="dxa" w:w="3360"/>
            <w:shd w:fill="12304A"/>
          </w:tcPr>
          <w:p>
            <w:r>
              <w:rPr>
                <w:b/>
                <w:color w:val="FFFFFF"/>
                <w:sz w:val="17"/>
              </w:rPr>
              <w:t>Use</w:t>
            </w:r>
          </w:p>
        </w:tc>
      </w:tr>
      <w:tr>
        <w:tc>
          <w:tcPr>
            <w:tcW w:type="dxa" w:w="3360"/>
          </w:tcPr>
          <w:p>
            <w:pPr>
              <w:spacing w:after="40"/>
            </w:pPr>
            <w:r>
              <w:rPr>
                <w:sz w:val="16"/>
              </w:rPr>
              <w:t>Analytics</w:t>
            </w:r>
          </w:p>
        </w:tc>
        <w:tc>
          <w:tcPr>
            <w:tcW w:type="dxa" w:w="3360"/>
          </w:tcPr>
          <w:p>
            <w:pPr>
              <w:spacing w:after="40"/>
            </w:pPr>
            <w:r>
              <w:rPr>
                <w:sz w:val="16"/>
              </w:rPr>
              <w:t>Python, Pandas, NumPy, scikit-learn</w:t>
            </w:r>
          </w:p>
        </w:tc>
        <w:tc>
          <w:tcPr>
            <w:tcW w:type="dxa" w:w="3360"/>
          </w:tcPr>
          <w:p>
            <w:pPr>
              <w:spacing w:after="40"/>
            </w:pPr>
            <w:r>
              <w:rPr>
                <w:sz w:val="16"/>
              </w:rPr>
              <w:t>Data quality, rules and baseline anomaly detection.</w:t>
            </w:r>
          </w:p>
        </w:tc>
      </w:tr>
      <w:tr>
        <w:tc>
          <w:tcPr>
            <w:tcW w:type="dxa" w:w="3360"/>
            <w:shd w:fill="F1F6F8"/>
          </w:tcPr>
          <w:p>
            <w:pPr>
              <w:spacing w:after="40"/>
            </w:pPr>
            <w:r>
              <w:rPr>
                <w:sz w:val="16"/>
              </w:rPr>
              <w:t>API</w:t>
            </w:r>
          </w:p>
        </w:tc>
        <w:tc>
          <w:tcPr>
            <w:tcW w:type="dxa" w:w="3360"/>
            <w:shd w:fill="F1F6F8"/>
          </w:tcPr>
          <w:p>
            <w:pPr>
              <w:spacing w:after="40"/>
            </w:pPr>
            <w:r>
              <w:rPr>
                <w:sz w:val="16"/>
              </w:rPr>
              <w:t>FastAPI, Pydantic</w:t>
            </w:r>
          </w:p>
        </w:tc>
        <w:tc>
          <w:tcPr>
            <w:tcW w:type="dxa" w:w="3360"/>
            <w:shd w:fill="F1F6F8"/>
          </w:tcPr>
          <w:p>
            <w:pPr>
              <w:spacing w:after="40"/>
            </w:pPr>
            <w:r>
              <w:rPr>
                <w:sz w:val="16"/>
              </w:rPr>
              <w:t>Validated service endpoints.</w:t>
            </w:r>
          </w:p>
        </w:tc>
      </w:tr>
      <w:tr>
        <w:tc>
          <w:tcPr>
            <w:tcW w:type="dxa" w:w="3360"/>
          </w:tcPr>
          <w:p>
            <w:pPr>
              <w:spacing w:after="40"/>
            </w:pPr>
            <w:r>
              <w:rPr>
                <w:sz w:val="16"/>
              </w:rPr>
              <w:t>Storage</w:t>
            </w:r>
          </w:p>
        </w:tc>
        <w:tc>
          <w:tcPr>
            <w:tcW w:type="dxa" w:w="3360"/>
          </w:tcPr>
          <w:p>
            <w:pPr>
              <w:spacing w:after="40"/>
            </w:pPr>
            <w:r>
              <w:rPr>
                <w:sz w:val="16"/>
              </w:rPr>
              <w:t>PostgreSQL; CSV/Parquet for demo</w:t>
            </w:r>
          </w:p>
        </w:tc>
        <w:tc>
          <w:tcPr>
            <w:tcW w:type="dxa" w:w="3360"/>
          </w:tcPr>
          <w:p>
            <w:pPr>
              <w:spacing w:after="40"/>
            </w:pPr>
            <w:r>
              <w:rPr>
                <w:sz w:val="16"/>
              </w:rPr>
              <w:t>Assets, findings, provenance and time series.</w:t>
            </w:r>
          </w:p>
        </w:tc>
      </w:tr>
      <w:tr>
        <w:tc>
          <w:tcPr>
            <w:tcW w:type="dxa" w:w="3360"/>
            <w:shd w:fill="F1F6F8"/>
          </w:tcPr>
          <w:p>
            <w:pPr>
              <w:spacing w:after="40"/>
            </w:pPr>
            <w:r>
              <w:rPr>
                <w:sz w:val="16"/>
              </w:rPr>
              <w:t>UI</w:t>
            </w:r>
          </w:p>
        </w:tc>
        <w:tc>
          <w:tcPr>
            <w:tcW w:type="dxa" w:w="3360"/>
            <w:shd w:fill="F1F6F8"/>
          </w:tcPr>
          <w:p>
            <w:pPr>
              <w:spacing w:after="40"/>
            </w:pPr>
            <w:r>
              <w:rPr>
                <w:sz w:val="16"/>
              </w:rPr>
              <w:t>Streamlit; React later if needed</w:t>
            </w:r>
          </w:p>
        </w:tc>
        <w:tc>
          <w:tcPr>
            <w:tcW w:type="dxa" w:w="3360"/>
            <w:shd w:fill="F1F6F8"/>
          </w:tcPr>
          <w:p>
            <w:pPr>
              <w:spacing w:after="40"/>
            </w:pPr>
            <w:r>
              <w:rPr>
                <w:sz w:val="16"/>
              </w:rPr>
              <w:t>Case dashboard and evidence review.</w:t>
            </w:r>
          </w:p>
        </w:tc>
      </w:tr>
      <w:tr>
        <w:tc>
          <w:tcPr>
            <w:tcW w:type="dxa" w:w="3360"/>
          </w:tcPr>
          <w:p>
            <w:pPr>
              <w:spacing w:after="40"/>
            </w:pPr>
            <w:r>
              <w:rPr>
                <w:sz w:val="16"/>
              </w:rPr>
              <w:t>AI (optional)</w:t>
            </w:r>
          </w:p>
        </w:tc>
        <w:tc>
          <w:tcPr>
            <w:tcW w:type="dxa" w:w="3360"/>
          </w:tcPr>
          <w:p>
            <w:pPr>
              <w:spacing w:after="40"/>
            </w:pPr>
            <w:r>
              <w:rPr>
                <w:sz w:val="16"/>
              </w:rPr>
              <w:t>Approved enterprise LLM with constrained retrieval</w:t>
            </w:r>
          </w:p>
        </w:tc>
        <w:tc>
          <w:tcPr>
            <w:tcW w:type="dxa" w:w="3360"/>
          </w:tcPr>
          <w:p>
            <w:pPr>
              <w:spacing w:after="40"/>
            </w:pPr>
            <w:r>
              <w:rPr>
                <w:sz w:val="16"/>
              </w:rPr>
              <w:t>Summarise evidence; deterministic logic calculates scores.</w:t>
            </w:r>
          </w:p>
        </w:tc>
      </w:tr>
      <w:tr>
        <w:tc>
          <w:tcPr>
            <w:tcW w:type="dxa" w:w="3360"/>
            <w:shd w:fill="F1F6F8"/>
          </w:tcPr>
          <w:p>
            <w:pPr>
              <w:spacing w:after="40"/>
            </w:pPr>
            <w:r>
              <w:rPr>
                <w:sz w:val="16"/>
              </w:rPr>
              <w:t>Testing/deployment</w:t>
            </w:r>
          </w:p>
        </w:tc>
        <w:tc>
          <w:tcPr>
            <w:tcW w:type="dxa" w:w="3360"/>
            <w:shd w:fill="F1F6F8"/>
          </w:tcPr>
          <w:p>
            <w:pPr>
              <w:spacing w:after="40"/>
            </w:pPr>
            <w:r>
              <w:rPr>
                <w:sz w:val="16"/>
              </w:rPr>
              <w:t>pytest, Docker</w:t>
            </w:r>
          </w:p>
        </w:tc>
        <w:tc>
          <w:tcPr>
            <w:tcW w:type="dxa" w:w="3360"/>
            <w:shd w:fill="F1F6F8"/>
          </w:tcPr>
          <w:p>
            <w:pPr>
              <w:spacing w:after="40"/>
            </w:pPr>
            <w:r>
              <w:rPr>
                <w:sz w:val="16"/>
              </w:rPr>
              <w:t>Synthetic scenario tests and reproducible deployment.</w:t>
            </w:r>
          </w:p>
        </w:tc>
      </w:tr>
      <w:tr>
        <w:tc>
          <w:tcPr>
            <w:tcW w:type="dxa" w:w="3360"/>
          </w:tcPr>
          <w:p>
            <w:pPr>
              <w:spacing w:after="40"/>
            </w:pPr>
            <w:r>
              <w:rPr>
                <w:sz w:val="16"/>
              </w:rPr>
              <w:t>Security</w:t>
            </w:r>
          </w:p>
        </w:tc>
        <w:tc>
          <w:tcPr>
            <w:tcW w:type="dxa" w:w="3360"/>
          </w:tcPr>
          <w:p>
            <w:pPr>
              <w:spacing w:after="40"/>
            </w:pPr>
            <w:r>
              <w:rPr>
                <w:sz w:val="16"/>
              </w:rPr>
              <w:t>RBAC, encryption, audit, secrets management</w:t>
            </w:r>
          </w:p>
        </w:tc>
        <w:tc>
          <w:tcPr>
            <w:tcW w:type="dxa" w:w="3360"/>
          </w:tcPr>
          <w:p>
            <w:pPr>
              <w:spacing w:after="40"/>
            </w:pPr>
            <w:r>
              <w:rPr>
                <w:sz w:val="16"/>
              </w:rPr>
              <w:t>Implement in an approved environment.</w:t>
            </w:r>
          </w:p>
        </w:tc>
      </w:tr>
    </w:tbl>
    <w:p/>
    <w:p>
      <w:pPr>
        <w:pStyle w:val="Heading1"/>
      </w:pPr>
      <w:r>
        <w:t>9. Risk scoring and energy impact</w:t>
      </w:r>
    </w:p>
    <w:p>
      <w:pPr>
        <w:pStyle w:val="Heading2"/>
      </w:pPr>
    </w:p>
    <w:p>
      <w:r>
        <w:t>Use a transparent priority score based on signal severity, asset criticality, anomaly magnitude/duration, evidence confidence and data completeness. Display observed anomaly, cyber indicator, estimated impact, confidence and alternative explanations separately. Illustrative energy-loss estimate: max(0, expected generation − observed generation) over an interval. Adjust expected generation for weather, maintenance, curtailment and availability when possible; otherwise label the estimate rough.</w:t>
      </w:r>
    </w:p>
    <w:p>
      <w:pPr>
        <w:pStyle w:val="Heading1"/>
      </w:pPr>
      <w:r>
        <w:t>10. Security and governance</w:t>
      </w:r>
    </w:p>
    <w:p>
      <w:pPr>
        <w:pStyle w:val="Heading2"/>
      </w:pPr>
    </w:p>
    <w:p>
      <w:pPr>
        <w:pStyle w:val="ListBullet"/>
        <w:spacing w:after="40"/>
      </w:pPr>
      <w:r>
        <w:t>Use synthetic data for the initial POC; never include credentials or secrets.</w:t>
      </w:r>
    </w:p>
    <w:p>
      <w:pPr>
        <w:pStyle w:val="ListBullet"/>
        <w:spacing w:after="40"/>
      </w:pPr>
      <w:r>
        <w:t>Validate uploads and treat logs/documents as untrusted input.</w:t>
      </w:r>
    </w:p>
    <w:p>
      <w:pPr>
        <w:pStyle w:val="ListBullet"/>
        <w:spacing w:after="40"/>
      </w:pPr>
      <w:r>
        <w:t>Keep the system read-only; no commands to inverters, batteries, SCADA or grid assets.</w:t>
      </w:r>
    </w:p>
    <w:p>
      <w:pPr>
        <w:pStyle w:val="ListBullet"/>
        <w:spacing w:after="40"/>
      </w:pPr>
      <w:r>
        <w:t>Keep source, timestamp, transformations, rule/model version and reviewer disposition for every finding.</w:t>
      </w:r>
    </w:p>
    <w:p>
      <w:pPr>
        <w:pStyle w:val="ListBullet"/>
        <w:spacing w:after="40"/>
      </w:pPr>
      <w:r>
        <w:t>Use least privilege, role-based access, encryption and audit logs in later authorised pilots.</w:t>
      </w:r>
    </w:p>
    <w:p>
      <w:pPr>
        <w:pStyle w:val="ListBullet"/>
        <w:spacing w:after="40"/>
      </w:pPr>
      <w:r>
        <w:t>Do not claim regulatory compliance solely because a framework is referenced.</w:t>
      </w:r>
    </w:p>
    <w:p>
      <w:pPr>
        <w:pStyle w:val="Heading1"/>
      </w:pPr>
      <w:r>
        <w:t>11. POC acceptance criteria</w:t>
      </w:r>
    </w:p>
    <w:p>
      <w:pPr>
        <w:pStyle w:val="Heading2"/>
      </w:pPr>
    </w:p>
    <w:p>
      <w:pPr>
        <w:pStyle w:val="ListBullet"/>
        <w:spacing w:after="40"/>
      </w:pPr>
      <w:r>
        <w:t>Detect seeded cyber indicators and generation anomalies while measuring false positives.</w:t>
      </w:r>
    </w:p>
    <w:p>
      <w:pPr>
        <w:pStyle w:val="ListBullet"/>
        <w:spacing w:after="40"/>
      </w:pPr>
      <w:r>
        <w:t>Every finding links to source evidence and explains the score.</w:t>
      </w:r>
    </w:p>
    <w:p>
      <w:pPr>
        <w:pStyle w:val="ListBullet"/>
        <w:spacing w:after="40"/>
      </w:pPr>
      <w:r>
        <w:t>Energy-loss estimates match synthetic ground truth within a defined tolerance.</w:t>
      </w:r>
    </w:p>
    <w:p>
      <w:pPr>
        <w:pStyle w:val="ListBullet"/>
        <w:spacing w:after="40"/>
      </w:pPr>
      <w:r>
        <w:t>Dashboard distinguishes anomaly from confirmed attack and lists plausible non-cyber explanations.</w:t>
      </w:r>
    </w:p>
    <w:p>
      <w:pPr>
        <w:pStyle w:val="ListBullet"/>
        <w:spacing w:after="40"/>
      </w:pPr>
      <w:r>
        <w:t>Security/renewable-domain reviewers find outputs understandable and useful.</w:t>
      </w:r>
    </w:p>
    <w:p>
      <w:pPr>
        <w:pStyle w:val="ListBullet"/>
        <w:spacing w:after="40"/>
      </w:pPr>
      <w:r>
        <w:t>Customer discovery confirms a real gap relative to current OT-security and operations tools.</w:t>
      </w:r>
    </w:p>
    <w:p>
      <w:pPr>
        <w:pStyle w:val="Heading1"/>
      </w:pPr>
      <w:r>
        <w:t>12. Business value and risks</w:t>
      </w:r>
    </w:p>
    <w:p>
      <w:pPr>
        <w:pStyle w:val="Heading2"/>
      </w:pPr>
    </w:p>
    <w:p>
      <w:r>
        <w:t>Potential value includes faster triage, clearer operational context for security findings and better investigation prioritisation. Potential revenue models include software subscriptions, assessment/pilot fees and integrations; pricing and willingness to pay are unvalidated. Main risks are false attribution, existing-tool overlap, sensitive data access and scope creep. Keep solar as the first use case.</w:t>
      </w:r>
    </w:p>
    <w:p>
      <w:pPr>
        <w:pStyle w:val="Heading1"/>
      </w:pPr>
      <w:r>
        <w:t>13. IdeaTank submission summary</w:t>
      </w:r>
    </w:p>
    <w:p>
      <w:pPr>
        <w:pStyle w:val="Heading2"/>
      </w:pPr>
    </w:p>
    <w:p>
      <w:r>
        <w:t>Project Vela is a software-only renewable-energy cyber-risk intelligence concept that correlates solar asset inventory, security indicators and generation anomalies to surface explainable investigation priorities and estimate potential energy impact. The initial POC uses synthetic data and no live grid or hardware integration. Vela distinguishes observed anomalies from confirmed attacks, provides source-linked evidence and requires human review.</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07A"/>
        <w:sz w:val="16"/>
      </w:rPr>
      <w:t>EXL IDEATANK • CONCEPT DRAFT • 29 OCT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230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87E8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230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