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7b1de491b3b450a" /><Relationship Type="http://schemas.openxmlformats.org/package/2006/relationships/metadata/core-properties" Target="/docProps/core.xml" Id="Rffa48799b5854079" /><Relationship Type="http://schemas.openxmlformats.org/officeDocument/2006/relationships/extended-properties" Target="/docProps/app.xml" Id="R0ba5081bf305411f" /><Relationship Type="http://schemas.openxmlformats.org/officeDocument/2006/relationships/custom-properties" Target="/docProps/custom.xml" Id="R728375a059694db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360"/>
        <w:jc w:val="center"/>
      </w:pPr>
      <w:r>
        <w:rPr>
          <w:b/>
          <w:sz w:val="52"/>
        </w:rPr>
        <w:t xml:space="preserve">Customer Churn Prediction and Analytics Using Machine Learning</w:t>
      </w:r>
    </w:p>
    <w:p w14:paraId="00100002" w14:textId="00100003">
      <w:pPr>
        <w:spacing w:after="200"/>
        <w:jc w:val="center"/>
      </w:pPr>
      <w:r>
        <w:rPr>
          <w:b/>
          <w:sz w:val="28"/>
        </w:rPr>
        <w:t xml:space="preserve">AICTE + IBM SkillsBuild Data Analytics with AI Internship</w:t>
      </w:r>
    </w:p>
    <w:p w14:paraId="00100004" w14:textId="00100005">
      <w:pPr>
        <w:spacing w:after="120"/>
        <w:jc w:val="center"/>
      </w:pPr>
      <w:r>
        <w:rPr>
          <w:sz w:val="26"/>
        </w:rPr>
        <w:t xml:space="preserve">Submitted by: Satyajit Panda</w:t>
      </w:r>
    </w:p>
    <w:p w14:paraId="00100006" w14:textId="00100007">
      <w:pPr>
        <w:spacing w:after="120"/>
        <w:jc w:val="center"/>
      </w:pPr>
      <w:r>
        <w:rPr>
          <w:sz w:val="24"/>
        </w:rPr>
        <w:t xml:space="preserve">B.Tech Computer Science and Engineering (Internet of Things)</w:t>
      </w:r>
    </w:p>
    <w:p w14:paraId="00100008" w14:textId="00100009">
      <w:pPr>
        <w:spacing w:after="800"/>
        <w:jc w:val="center"/>
      </w:pPr>
      <w:r>
        <w:rPr>
          <w:color w:val="555555"/>
          <w:sz w:val="22"/>
        </w:rPr>
        <w:t xml:space="preserve">Internship Programme: AICTE + IBM SkillsBuild Data Analytics with AI</w:t>
      </w:r>
    </w:p>
    <w:p w14:paraId="0010000A" w14:textId="0010000B">
      <w:pPr/>
    </w:p>
    <w:p w14:paraId="0010000C" w14:textId="0010000D">
      <w:pPr>
        <w:pStyle w:val="Heading1"/>
        <w:spacing w:before="240" w:after="160"/>
      </w:pPr>
      <w:r>
        <w:rPr>
          <w:b/>
          <w:sz w:val="32"/>
        </w:rPr>
        <w:t xml:space="preserve">1. Abstract</w:t>
      </w:r>
    </w:p>
    <w:p w14:paraId="0010000E" w14:textId="0010000F">
      <w:pPr>
        <w:spacing w:after="120"/>
      </w:pPr>
      <w:r>
        <w:rPr>
          <w:sz w:val="22"/>
        </w:rPr>
        <w:t xml:space="preserve">Customer churn — the voluntary discontinuation of a service by a customer — represents one of the most significant sources of revenue loss in the telecommunications industry. This project builds a complete machine learning pipeline to predict customer churn using the IBM Telco Customer Churn dataset, which contains records for 7,043 customers across 21 features.</w:t>
      </w:r>
    </w:p>
    <w:p w14:paraId="00100010" w14:textId="00100011">
      <w:pPr>
        <w:spacing w:after="120"/>
      </w:pPr>
      <w:r>
        <w:rPr>
          <w:sz w:val="22"/>
        </w:rPr>
        <w:t xml:space="preserve">The project implements a professional data science workflow: data quality inspection, cleaning, feature engineering, a scikit-learn ColumnTransformer preprocessing pipeline with strict data leakage prevention, and the training and evaluation of five classification models — Logistic Regression, Decision Tree, Random Forest, Gradient Boosting, and Support Vector Machine.</w:t>
      </w:r>
    </w:p>
    <w:p w14:paraId="00100012" w14:textId="00100013">
      <w:pPr>
        <w:spacing w:after="120"/>
      </w:pPr>
      <w:r>
        <w:rPr>
          <w:sz w:val="22"/>
        </w:rPr>
        <w:t xml:space="preserve">Each model was evaluated on a held-out test set (1,409 rows) using Accuracy, Precision, Recall, F1-score, and ROC-AUC. The Random Forest classifier was selected as the best model based on the highest ROC-AUC of 0.8423 and an F1-score of 0.6224 for the churn class — both determined programmatically from actual test-set results. Business insights were derived exclusively from patterns confirmed in the data analysis.</w:t>
      </w:r>
    </w:p>
    <w:p w14:paraId="00100014" w14:textId="00100015">
      <w:pPr>
        <w:pStyle w:val="Heading1"/>
        <w:spacing w:before="320" w:after="160"/>
      </w:pPr>
      <w:r>
        <w:rPr>
          <w:b/>
          <w:sz w:val="32"/>
        </w:rPr>
        <w:t xml:space="preserve">2. Introduction</w:t>
      </w:r>
    </w:p>
    <w:p w14:paraId="00100016" w14:textId="00100017">
      <w:pPr>
        <w:spacing w:after="120"/>
      </w:pPr>
      <w:r>
        <w:rPr>
          <w:sz w:val="22"/>
        </w:rPr>
        <w:t xml:space="preserve">The telecommunications industry is highly competitive, with customers having access to numerous service providers. Customer churn — defined as the event where a customer stops using a company's services — poses a persistent challenge to business sustainability. Industry estimates consistently show that acquiring a new customer costs several times more than retaining an existing one, making churn a critical metric for business health.</w:t>
      </w:r>
    </w:p>
    <w:p w14:paraId="00100018" w14:textId="00100019">
      <w:pPr>
        <w:spacing w:after="120"/>
      </w:pPr>
      <w:r>
        <w:rPr>
          <w:sz w:val="22"/>
        </w:rPr>
        <w:t xml:space="preserve">Predictive analytics offers a proactive alternative to reactive retention strategies. By analysing historical customer data, a machine learning classifier can assign a churn probability to each customer, enabling the business to identify and prioritise at-risk customers for targeted intervention before they leave.</w:t>
      </w:r>
    </w:p>
    <w:p w14:paraId="0010001A" w14:textId="0010001B">
      <w:pPr>
        <w:spacing w:after="120"/>
      </w:pPr>
      <w:r>
        <w:rPr>
          <w:sz w:val="22"/>
        </w:rPr>
        <w:t xml:space="preserve">This project combines exploratory data analysis, feature engineering, and supervised machine learning to deliver a complete churn prediction system. The notebook is developed as part of the AICTE + IBM SkillsBuild Data Analytics with AI internship programme and demonstrates the full data science workflow from raw data to actionable business insight.</w:t>
      </w:r>
    </w:p>
    <w:p w14:paraId="0010001C" w14:textId="0010001D">
      <w:pPr>
        <w:pStyle w:val="Heading1"/>
        <w:spacing w:before="320" w:after="160"/>
      </w:pPr>
      <w:r>
        <w:rPr>
          <w:b/>
          <w:sz w:val="32"/>
        </w:rPr>
        <w:t xml:space="preserve">3. Problem Statement</w:t>
      </w:r>
    </w:p>
    <w:p w14:paraId="0010001E" w14:textId="0010001F">
      <w:pPr>
        <w:spacing w:after="120"/>
      </w:pPr>
      <w:r>
        <w:rPr>
          <w:sz w:val="22"/>
        </w:rPr>
        <w:t xml:space="preserve">A telecommunications company holds data on 7,043 customers including their demographics, account details, and service subscriptions. The company observes that 26.54% of customers churned in the recorded period, yet lacks the ability to predict which individual customers are likely to leave in the near future.</w:t>
      </w:r>
    </w:p>
    <w:p w14:paraId="00100020" w14:textId="00100021">
      <w:pPr>
        <w:spacing w:after="120"/>
      </w:pPr>
      <w:r>
        <w:rPr>
          <w:sz w:val="22"/>
        </w:rPr>
        <w:t xml:space="preserve">Without a predictive model, retention efforts must either target all customers (expensive and inefficient) or react only after churn has occurred (too late). The problem is therefore:</w:t>
      </w:r>
    </w:p>
    <w:p w14:paraId="00100022" w14:textId="00100023">
      <w:pPr>
        <w:spacing w:after="120"/>
      </w:pPr>
      <w:r>
        <w:rPr>
          <w:b/>
          <w:sz w:val="22"/>
        </w:rPr>
        <w:t xml:space="preserve">Given a customer's demographic profile, account information, and service subscription details, predict whether that customer will churn — and rank customers by churn risk so that retention resources can be allocated efficiently.</w:t>
      </w:r>
    </w:p>
    <w:p w14:paraId="00100024" w14:textId="00100025">
      <w:pPr>
        <w:spacing w:after="120"/>
      </w:pPr>
      <w:r>
        <w:rPr>
          <w:sz w:val="22"/>
        </w:rPr>
        <w:t xml:space="preserve">The task is formulated as a supervised binary classification problem where the target variable is Churn (1 = churned, 0 = retained).</w:t>
      </w:r>
    </w:p>
    <w:p w14:paraId="00100026" w14:textId="00100027">
      <w:pPr>
        <w:pStyle w:val="Heading1"/>
        <w:spacing w:before="320" w:after="160"/>
      </w:pPr>
      <w:r>
        <w:rPr>
          <w:b/>
          <w:sz w:val="32"/>
        </w:rPr>
        <w:t xml:space="preserve">4. Objectives</w:t>
      </w:r>
    </w:p>
    <w:p w14:paraId="00100028" w14:textId="00100029">
      <w:pPr>
        <w:spacing w:after="80"/>
      </w:pPr>
      <w:r>
        <w:rPr>
          <w:sz w:val="22"/>
        </w:rPr>
        <w:t xml:space="preserve">The objectives of this project are:</w:t>
      </w:r>
    </w:p>
    <w:p w14:paraId="0010002A" w14:textId="0010002B">
      <w:pPr>
        <w:numPr>
          <w:ilvl w:val="0"/>
          <w:numId w:val="1"/>
        </w:numPr>
        <w:spacing w:after="60"/>
      </w:pPr>
      <w:r>
        <w:rPr>
          <w:sz w:val="22"/>
        </w:rPr>
        <w:t xml:space="preserve">1. Perform comprehensive exploratory data analysis to understand distributions, class imbalance, and feature relationships with churn.</w:t>
      </w:r>
    </w:p>
    <w:p w14:paraId="0010002C" w14:textId="0010002D">
      <w:pPr>
        <w:numPr>
          <w:ilvl w:val="0"/>
          <w:numId w:val="1"/>
        </w:numPr>
        <w:spacing w:after="60"/>
      </w:pPr>
      <w:r>
        <w:rPr>
          <w:sz w:val="22"/>
        </w:rPr>
        <w:t xml:space="preserve">2. Clean and preprocess the data using a fully leak-free scikit-learn Pipeline and ColumnTransformer.</w:t>
      </w:r>
    </w:p>
    <w:p w14:paraId="0010002E" w14:textId="0010002F">
      <w:pPr>
        <w:numPr>
          <w:ilvl w:val="0"/>
          <w:numId w:val="1"/>
        </w:numPr>
        <w:spacing w:after="60"/>
      </w:pPr>
      <w:r>
        <w:rPr>
          <w:sz w:val="22"/>
        </w:rPr>
        <w:t xml:space="preserve">3. Engineer additional features that may improve predictive power.</w:t>
      </w:r>
    </w:p>
    <w:p w14:paraId="00100030" w14:textId="00100031">
      <w:pPr>
        <w:numPr>
          <w:ilvl w:val="0"/>
          <w:numId w:val="1"/>
        </w:numPr>
        <w:spacing w:after="60"/>
      </w:pPr>
      <w:r>
        <w:rPr>
          <w:sz w:val="22"/>
        </w:rPr>
        <w:t xml:space="preserve">4. Train and evaluate five supervised machine learning classifiers using appropriate metrics for an imbalanced classification task.</w:t>
      </w:r>
    </w:p>
    <w:p w14:paraId="00100032" w14:textId="00100033">
      <w:pPr>
        <w:numPr>
          <w:ilvl w:val="0"/>
          <w:numId w:val="1"/>
        </w:numPr>
        <w:spacing w:after="60"/>
      </w:pPr>
      <w:r>
        <w:rPr>
          <w:sz w:val="22"/>
        </w:rPr>
        <w:t xml:space="preserve">5. Select the best-performing model based on objective, programmatic evaluation of actual test-set results.</w:t>
      </w:r>
    </w:p>
    <w:p w14:paraId="00100034" w14:textId="00100035">
      <w:pPr>
        <w:numPr>
          <w:ilvl w:val="0"/>
          <w:numId w:val="1"/>
        </w:numPr>
        <w:spacing w:after="60"/>
      </w:pPr>
      <w:r>
        <w:rPr>
          <w:sz w:val="22"/>
        </w:rPr>
        <w:t xml:space="preserve">6. Interpret the model using feature importance analysis to identify the key drivers of churn.</w:t>
      </w:r>
    </w:p>
    <w:p w14:paraId="00100036" w14:textId="00100037">
      <w:pPr>
        <w:numPr>
          <w:ilvl w:val="0"/>
          <w:numId w:val="1"/>
        </w:numPr>
        <w:spacing w:after="120"/>
      </w:pPr>
      <w:r>
        <w:rPr>
          <w:sz w:val="22"/>
        </w:rPr>
        <w:t xml:space="preserve">7. Derive data-driven business insights and retention recommendations from the actual analysis.</w:t>
      </w:r>
    </w:p>
    <w:p w14:paraId="00100038" w14:textId="00100039">
      <w:pPr>
        <w:pStyle w:val="Heading1"/>
        <w:spacing w:before="320" w:after="160"/>
      </w:pPr>
      <w:r>
        <w:rPr>
          <w:b/>
          <w:sz w:val="32"/>
        </w:rPr>
        <w:t xml:space="preserve">5. Dataset Description</w:t>
      </w:r>
    </w:p>
    <w:p w14:paraId="0010003A" w14:textId="0010003B">
      <w:pPr>
        <w:spacing w:after="120"/>
      </w:pPr>
      <w:r>
        <w:rPr>
          <w:sz w:val="22"/>
        </w:rPr>
        <w:t xml:space="preserve">The dataset used in this project is the IBM Telco Customer Churn dataset, publicly available on Kaggle at https://www.kaggle.com/datasets/blastchar/telco-customer-churn.</w:t>
      </w:r>
    </w:p>
    <w:p w14:paraId="0010003C" w14:textId="0010003D">
      <w:pPr>
        <w:pStyle w:val="Heading2"/>
        <w:spacing w:before="200" w:after="120"/>
      </w:pPr>
      <w:r>
        <w:rPr>
          <w:b/>
          <w:sz w:val="26"/>
        </w:rPr>
        <w:t xml:space="preserve">Dataset Overview</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E" w14:textId="0010003F">
            <w:r>
              <w:t xml:space="preserve">Property</w:t>
            </w:r>
          </w:p>
        </w:tc>
        <w:tc>
          <w:p w14:paraId="00100040" w14:textId="00100041">
            <w:r>
              <w:t xml:space="preserve">Detail</w:t>
            </w:r>
          </w:p>
        </w:tc>
      </w:tr>
      <w:tr>
        <w:trPr/>
        <w:tc>
          <w:p w14:paraId="00100042" w14:textId="00100043">
            <w:r>
              <w:t xml:space="preserve">Dataset name</w:t>
            </w:r>
          </w:p>
        </w:tc>
        <w:tc>
          <w:p w14:paraId="00100044" w14:textId="00100045">
            <w:r>
              <w:t xml:space="preserve">Telco Customer Churn</w:t>
            </w:r>
          </w:p>
        </w:tc>
      </w:tr>
      <w:tr>
        <w:trPr/>
        <w:tc>
          <w:p w14:paraId="00100046" w14:textId="00100047">
            <w:r>
              <w:t xml:space="preserve">Source</w:t>
            </w:r>
          </w:p>
        </w:tc>
        <w:tc>
          <w:p w14:paraId="00100048" w14:textId="00100049">
            <w:r>
              <w:t xml:space="preserve">Kaggle — IBM Sample Data</w:t>
            </w:r>
          </w:p>
        </w:tc>
      </w:tr>
      <w:tr>
        <w:trPr/>
        <w:tc>
          <w:p w14:paraId="0010004A" w14:textId="0010004B">
            <w:r>
              <w:t xml:space="preserve">Total records</w:t>
            </w:r>
          </w:p>
        </w:tc>
        <w:tc>
          <w:p w14:paraId="0010004C" w14:textId="0010004D">
            <w:r>
              <w:t xml:space="preserve">7,043 customers</w:t>
            </w:r>
          </w:p>
        </w:tc>
      </w:tr>
      <w:tr>
        <w:trPr/>
        <w:tc>
          <w:p w14:paraId="0010004E" w14:textId="0010004F">
            <w:r>
              <w:t xml:space="preserve">Total columns</w:t>
            </w:r>
          </w:p>
        </w:tc>
        <w:tc>
          <w:p w14:paraId="00100050" w14:textId="00100051">
            <w:r>
              <w:t xml:space="preserve">21</w:t>
            </w:r>
          </w:p>
        </w:tc>
      </w:tr>
      <w:tr>
        <w:trPr/>
        <w:tc>
          <w:p w14:paraId="00100052" w14:textId="00100053">
            <w:r>
              <w:t xml:space="preserve">Target variable</w:t>
            </w:r>
          </w:p>
        </w:tc>
        <w:tc>
          <w:p w14:paraId="00100054" w14:textId="00100055">
            <w:r>
              <w:t xml:space="preserve">Churn (Yes / No → 1 / 0)</w:t>
            </w:r>
          </w:p>
        </w:tc>
      </w:tr>
      <w:tr>
        <w:trPr/>
        <w:tc>
          <w:p w14:paraId="00100056" w14:textId="00100057">
            <w:r>
              <w:t xml:space="preserve">Class distribution</w:t>
            </w:r>
          </w:p>
        </w:tc>
        <w:tc>
          <w:p w14:paraId="00100058" w14:textId="00100059">
            <w:r>
              <w:t xml:space="preserve">No Churn: 5,174 (73.46%)   |   Churn: 1,869 (26.54%)</w:t>
            </w:r>
          </w:p>
        </w:tc>
      </w:tr>
      <w:tr>
        <w:trPr/>
        <w:tc>
          <w:p w14:paraId="0010005A" w14:textId="0010005B">
            <w:r>
              <w:t xml:space="preserve">Known quality issue</w:t>
            </w:r>
          </w:p>
        </w:tc>
        <w:tc>
          <w:p w14:paraId="0010005C" w14:textId="0010005D">
            <w:r>
              <w:t xml:space="preserve">TotalCharges: 11 blank whitespace values (converted to NaN)</w:t>
            </w:r>
          </w:p>
        </w:tc>
      </w:tr>
    </w:tbl>
    <w:p w14:paraId="0010005E" w14:textId="0010005F">
      <w:pPr>
        <w:pStyle w:val="Heading2"/>
        <w:spacing w:before="200" w:after="120"/>
      </w:pPr>
      <w:r>
        <w:rPr>
          <w:b/>
          <w:sz w:val="26"/>
        </w:rPr>
        <w:t xml:space="preserve">Feature Categories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0" w14:textId="00100061">
            <w:r>
              <w:t xml:space="preserve">Feature Group</w:t>
            </w:r>
          </w:p>
        </w:tc>
        <w:tc>
          <w:p w14:paraId="00100062" w14:textId="00100063">
            <w:r>
              <w:t xml:space="preserve">Columns</w:t>
            </w:r>
          </w:p>
        </w:tc>
      </w:tr>
      <w:tr>
        <w:trPr/>
        <w:tc>
          <w:p w14:paraId="00100064" w14:textId="00100065">
            <w:r>
              <w:t xml:space="preserve">Demographics</w:t>
            </w:r>
          </w:p>
        </w:tc>
        <w:tc>
          <w:p w14:paraId="00100066" w14:textId="00100067">
            <w:r>
              <w:t xml:space="preserve">gender, SeniorCitizen, Partner, Dependents</w:t>
            </w:r>
          </w:p>
        </w:tc>
      </w:tr>
      <w:tr>
        <w:trPr/>
        <w:tc>
          <w:p w14:paraId="00100068" w14:textId="00100069">
            <w:r>
              <w:t xml:space="preserve">Account information</w:t>
            </w:r>
          </w:p>
        </w:tc>
        <w:tc>
          <w:p w14:paraId="0010006A" w14:textId="0010006B">
            <w:r>
              <w:t xml:space="preserve">tenure, Contract, PaperlessBilling, PaymentMethod, MonthlyCharges, TotalCharges</w:t>
            </w:r>
          </w:p>
        </w:tc>
      </w:tr>
      <w:tr>
        <w:trPr/>
        <w:tc>
          <w:p w14:paraId="0010006C" w14:textId="0010006D">
            <w:r>
              <w:t xml:space="preserve">Phone services</w:t>
            </w:r>
          </w:p>
        </w:tc>
        <w:tc>
          <w:p w14:paraId="0010006E" w14:textId="0010006F">
            <w:r>
              <w:t xml:space="preserve">PhoneService, MultipleLines</w:t>
            </w:r>
          </w:p>
        </w:tc>
      </w:tr>
      <w:tr>
        <w:trPr/>
        <w:tc>
          <w:p w14:paraId="00100070" w14:textId="00100071">
            <w:r>
              <w:t xml:space="preserve">Internet services</w:t>
            </w:r>
          </w:p>
        </w:tc>
        <w:tc>
          <w:p w14:paraId="00100072" w14:textId="00100073">
            <w:r>
              <w:t xml:space="preserve">InternetService, OnlineSecurity, OnlineBackup, DeviceProtection, TechSupport, StreamingTV, StreamingMovies</w:t>
            </w:r>
          </w:p>
        </w:tc>
      </w:tr>
      <w:tr>
        <w:trPr/>
        <w:tc>
          <w:p w14:paraId="00100074" w14:textId="00100075">
            <w:r>
              <w:t xml:space="preserve">Target</w:t>
            </w:r>
          </w:p>
        </w:tc>
        <w:tc>
          <w:p w14:paraId="00100076" w14:textId="00100077">
            <w:r>
              <w:t xml:space="preserve">Churn</w:t>
            </w:r>
          </w:p>
        </w:tc>
      </w:tr>
    </w:tbl>
    <w:p w14:paraId="00100078" w14:textId="00100079">
      <w:pPr>
        <w:pStyle w:val="Heading2"/>
        <w:spacing w:before="200" w:after="120"/>
      </w:pPr>
      <w:r>
        <w:rPr>
          <w:b/>
          <w:sz w:val="26"/>
        </w:rPr>
        <w:t xml:space="preserve">Data Quality Note</w:t>
      </w:r>
    </w:p>
    <w:p w14:paraId="0010007A" w14:textId="0010007B">
      <w:pPr>
        <w:spacing w:after="120"/>
      </w:pPr>
      <w:r>
        <w:rPr>
          <w:sz w:val="22"/>
        </w:rPr>
        <w:t xml:space="preserve">The TotalCharges column is stored as a string in the raw CSV file. Inspection revealed 11 rows containing only whitespace, which are not detected by standard null checks. These values are converted to NaN during numeric conversion and subsequently imputed using the training-set median inside the preprocessing pipeline, preventing any test-set information from influencing the imputed value.</w:t>
      </w:r>
    </w:p>
    <w:p w14:paraId="0010007C" w14:textId="0010007D">
      <w:pPr/>
    </w:p>
    <w:p w14:paraId="0010007E" w14:textId="0010007F">
      <w:pPr>
        <w:pStyle w:val="Heading1"/>
        <w:spacing w:before="240" w:after="160"/>
      </w:pPr>
      <w:r>
        <w:rPr>
          <w:b/>
          <w:sz w:val="32"/>
        </w:rPr>
        <w:t xml:space="preserve">6.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0" w14:textId="00100081">
            <w:r>
              <w:t xml:space="preserve">Technology</w:t>
            </w:r>
          </w:p>
        </w:tc>
        <w:tc>
          <w:p w14:paraId="00100082" w14:textId="00100083">
            <w:r>
              <w:t xml:space="preserve">Role in this Project</w:t>
            </w:r>
          </w:p>
        </w:tc>
      </w:tr>
      <w:tr>
        <w:trPr/>
        <w:tc>
          <w:p w14:paraId="00100084" w14:textId="00100085">
            <w:r>
              <w:t xml:space="preserve">Python 3</w:t>
            </w:r>
          </w:p>
        </w:tc>
        <w:tc>
          <w:p w14:paraId="00100086" w14:textId="00100087">
            <w:r>
              <w:t xml:space="preserve">Core programming language for all data processing and modelling</w:t>
            </w:r>
          </w:p>
        </w:tc>
      </w:tr>
      <w:tr>
        <w:trPr/>
        <w:tc>
          <w:p w14:paraId="00100088" w14:textId="00100089">
            <w:r>
              <w:t xml:space="preserve">Jupyter Notebook</w:t>
            </w:r>
          </w:p>
        </w:tc>
        <w:tc>
          <w:p w14:paraId="0010008A" w14:textId="0010008B">
            <w:r>
              <w:t xml:space="preserve">Interactive development environment for the complete workflow</w:t>
            </w:r>
          </w:p>
        </w:tc>
      </w:tr>
      <w:tr>
        <w:trPr/>
        <w:tc>
          <w:p w14:paraId="0010008C" w14:textId="0010008D">
            <w:r>
              <w:t xml:space="preserve">NumPy</w:t>
            </w:r>
          </w:p>
        </w:tc>
        <w:tc>
          <w:p w14:paraId="0010008E" w14:textId="0010008F">
            <w:r>
              <w:t xml:space="preserve">Numerical computing — arrays, masking, mathematical operations</w:t>
            </w:r>
          </w:p>
        </w:tc>
      </w:tr>
      <w:tr>
        <w:trPr/>
        <w:tc>
          <w:p w14:paraId="00100090" w14:textId="00100091">
            <w:r>
              <w:t xml:space="preserve">Pandas</w:t>
            </w:r>
          </w:p>
        </w:tc>
        <w:tc>
          <w:p w14:paraId="00100092" w14:textId="00100093">
            <w:r>
              <w:t xml:space="preserve">Data loading, inspection, cleaning, and feature engineering</w:t>
            </w:r>
          </w:p>
        </w:tc>
      </w:tr>
      <w:tr>
        <w:trPr/>
        <w:tc>
          <w:p w14:paraId="00100094" w14:textId="00100095">
            <w:r>
              <w:t xml:space="preserve">Matplotlib</w:t>
            </w:r>
          </w:p>
        </w:tc>
        <w:tc>
          <w:p w14:paraId="00100096" w14:textId="00100097">
            <w:r>
              <w:t xml:space="preserve">Base plotting library for all charts and visualisations</w:t>
            </w:r>
          </w:p>
        </w:tc>
      </w:tr>
      <w:tr>
        <w:trPr/>
        <w:tc>
          <w:p w14:paraId="00100098" w14:textId="00100099">
            <w:r>
              <w:t xml:space="preserve">Seaborn</w:t>
            </w:r>
          </w:p>
        </w:tc>
        <w:tc>
          <w:p w14:paraId="0010009A" w14:textId="0010009B">
            <w:r>
              <w:t xml:space="preserve">Statistical visualisation — heatmaps, box plots, distribution plots</w:t>
            </w:r>
          </w:p>
        </w:tc>
      </w:tr>
      <w:tr>
        <w:trPr/>
        <w:tc>
          <w:p w14:paraId="0010009C" w14:textId="0010009D">
            <w:r>
              <w:t xml:space="preserve">Scikit-learn</w:t>
            </w:r>
          </w:p>
        </w:tc>
        <w:tc>
          <w:p w14:paraId="0010009E" w14:textId="0010009F">
            <w:r>
              <w:t xml:space="preserve">Preprocessing pipelines, all five ML models, and all evaluation metrics</w:t>
            </w:r>
          </w:p>
        </w:tc>
      </w:tr>
    </w:tbl>
    <w:p w14:paraId="001000A0" w14:textId="001000A1">
      <w:pPr>
        <w:pStyle w:val="Heading1"/>
        <w:spacing w:before="320" w:after="160"/>
      </w:pPr>
      <w:r>
        <w:rPr>
          <w:b/>
          <w:sz w:val="32"/>
        </w:rPr>
        <w:t xml:space="preserve">7. Methodology</w:t>
      </w:r>
    </w:p>
    <w:p w14:paraId="001000A2" w14:textId="001000A3">
      <w:pPr>
        <w:spacing w:after="160"/>
      </w:pPr>
      <w:r>
        <w:rPr>
          <w:sz w:val="22"/>
        </w:rPr>
        <w:t xml:space="preserve">The project follows a standard, reproducible data science workflow. All steps are implemented in a single Jupyter Notebook with clear Markdown documentation preceding each code section. The random_state is set to 42 throughout for reproducibility.</w:t>
      </w:r>
    </w:p>
    <w:p w14:paraId="001000A4" w14:textId="001000A5">
      <w:pPr>
        <w:pStyle w:val="Heading2"/>
        <w:spacing w:before="160" w:after="80"/>
      </w:pPr>
      <w:r>
        <w:rPr>
          <w:b/>
          <w:sz w:val="26"/>
        </w:rPr>
        <w:t xml:space="preserve">7.1 Data Loading</w:t>
      </w:r>
    </w:p>
    <w:p w14:paraId="001000A6" w14:textId="001000A7">
      <w:pPr>
        <w:spacing w:after="120"/>
      </w:pPr>
      <w:r>
        <w:rPr>
          <w:sz w:val="22"/>
        </w:rPr>
        <w:t xml:space="preserve">The raw CSV file is loaded into a DataFrame named df_raw using pandas. This variable is never modified throughout the notebook — all cleaning and transformation steps are applied to a copy, preserving the integrity of the original Kaggle dataset on disk.</w:t>
      </w:r>
    </w:p>
    <w:p w14:paraId="001000A8" w14:textId="001000A9">
      <w:pPr>
        <w:pStyle w:val="Heading2"/>
        <w:spacing w:before="160" w:after="80"/>
      </w:pPr>
      <w:r>
        <w:rPr>
          <w:b/>
          <w:sz w:val="26"/>
        </w:rPr>
        <w:t xml:space="preserve">7.2 Data Quality Inspection</w:t>
      </w:r>
    </w:p>
    <w:p w14:paraId="001000AA" w14:textId="001000AB">
      <w:pPr>
        <w:spacing w:after="120"/>
      </w:pPr>
      <w:r>
        <w:rPr>
          <w:sz w:val="22"/>
        </w:rPr>
        <w:t xml:space="preserve">Before any cleaning, the raw data is audited for: (1) explicit null values via df.isnull().sum(), which returns zero for all columns; (2) hidden whitespace blanks in TotalCharges by checking str.strip() == '', which finds 11 affected rows; (3) duplicate rows, of which there are none; and (4) class balance of the target, revealing a 73.46% / 26.54% No Churn / Churn split.</w:t>
      </w:r>
    </w:p>
    <w:p w14:paraId="001000AC" w14:textId="001000AD">
      <w:pPr>
        <w:pStyle w:val="Heading2"/>
        <w:spacing w:before="160" w:after="80"/>
      </w:pPr>
      <w:r>
        <w:rPr>
          <w:b/>
          <w:sz w:val="26"/>
        </w:rPr>
        <w:t xml:space="preserve">7.3 Data Cleaning</w:t>
      </w:r>
    </w:p>
    <w:p w14:paraId="001000AE" w14:textId="001000AF">
      <w:pPr>
        <w:spacing w:after="120"/>
      </w:pPr>
      <w:r>
        <w:rPr>
          <w:sz w:val="22"/>
        </w:rPr>
        <w:t xml:space="preserve">The following cleaning steps are applied to a working copy of df_raw: (1) customerID is dropped as a non-predictive identifier; (2) TotalCharges is converted to numeric using pd.to_numeric(errors='coerce'), which converts the 11 whitespace values to NaN; (3) the target Churn is encoded as Yes=1, No=0; (4) the values 'No internet service' and 'No phone service' in the seven service add-on columns are replaced with 'No', reducing cardinality without information loss.</w:t>
      </w:r>
    </w:p>
    <w:p w14:paraId="001000B0" w14:textId="001000B1">
      <w:pPr>
        <w:pStyle w:val="Heading2"/>
        <w:spacing w:before="160" w:after="80"/>
      </w:pPr>
      <w:r>
        <w:rPr>
          <w:b/>
          <w:sz w:val="26"/>
        </w:rPr>
        <w:t xml:space="preserve">7.4 Feature Engineering</w:t>
      </w:r>
    </w:p>
    <w:p w14:paraId="001000B2" w14:textId="001000B3">
      <w:pPr>
        <w:spacing w:after="120"/>
      </w:pPr>
      <w:r>
        <w:rPr>
          <w:sz w:val="22"/>
        </w:rPr>
        <w:t xml:space="preserve">Two new features are derived: NumAddOnServices — the count of 'Yes' values across the seven internet service add-on columns, providing a single numeric measure of service depth; and TenureGroup — tenure binned into four lifecycle stages (0–12, 13–24, 25–48, 49–72 months), used for EDA visualisation only and excluded from the model feature set.</w:t>
      </w:r>
    </w:p>
    <w:p w14:paraId="001000B4" w14:textId="001000B5">
      <w:pPr>
        <w:pStyle w:val="Heading2"/>
        <w:spacing w:before="160" w:after="80"/>
      </w:pPr>
      <w:r>
        <w:rPr>
          <w:b/>
          <w:sz w:val="26"/>
        </w:rPr>
        <w:t xml:space="preserve">7.5 Train / Test Split</w:t>
      </w:r>
    </w:p>
    <w:p w14:paraId="001000B6" w14:textId="001000B7">
      <w:pPr>
        <w:spacing w:after="120"/>
      </w:pPr>
      <w:r>
        <w:rPr>
          <w:sz w:val="22"/>
        </w:rPr>
        <w:t xml:space="preserve">The data is split 80% training / 20% test before any preprocessing transformer is fitted. Stratification on y preserves the 26.54% churn rate in both splits: 5,634 training rows and 1,409 test rows. This ordering is essential — fitting any transformer before the split would cause data leakage.</w:t>
      </w:r>
    </w:p>
    <w:p w14:paraId="001000B8" w14:textId="001000B9">
      <w:pPr>
        <w:pStyle w:val="Heading2"/>
        <w:spacing w:before="160" w:after="80"/>
      </w:pPr>
      <w:r>
        <w:rPr>
          <w:b/>
          <w:sz w:val="26"/>
        </w:rPr>
        <w:t xml:space="preserve">7.6 Preprocessing Pipeline</w:t>
      </w:r>
    </w:p>
    <w:p w14:paraId="001000BA" w14:textId="001000BB">
      <w:pPr>
        <w:spacing w:after="120"/>
      </w:pPr>
      <w:r>
        <w:rPr>
          <w:sz w:val="22"/>
        </w:rPr>
        <w:t xml:space="preserve">A scikit-learn ColumnTransformer is constructed with separate transformers for each column group. The entire preprocessor is fitted exclusively on the training data using fit_transform(X_train) and then applied to the test set using transform(X_test) only. This guarantees zero data leakage: no test-set statistics influence any fitted transformer. The 11 NaN values in TotalCharges are imputed using the median of the training set, computed inside a SimpleImputer within the numeric pipeline. The final feature matrix contains 23 features.</w:t>
      </w:r>
    </w:p>
    <w:p w14:paraId="001000BC" w14:textId="001000BD">
      <w:pPr>
        <w:pStyle w:val="Heading2"/>
        <w:spacing w:before="160" w:after="80"/>
      </w:pPr>
      <w:r>
        <w:rPr>
          <w:b/>
          <w:sz w:val="26"/>
        </w:rPr>
        <w:t xml:space="preserve">7.7 Model Training</w:t>
      </w:r>
    </w:p>
    <w:p w14:paraId="001000BE" w14:textId="001000BF">
      <w:pPr>
        <w:spacing w:after="120"/>
      </w:pPr>
      <w:r>
        <w:rPr>
          <w:sz w:val="22"/>
        </w:rPr>
        <w:t xml:space="preserve">Five classifiers are trained on the processed training set. class_weight='balanced' is applied where available to address the 26.54% / 73.46% class imbalance without discarding data. All models use random_state=42. Each model is evaluated on the same held-out test set.</w:t>
      </w:r>
    </w:p>
    <w:p w14:paraId="001000C0" w14:textId="001000C1">
      <w:pPr>
        <w:pStyle w:val="Heading1"/>
        <w:spacing w:before="320" w:after="160"/>
      </w:pPr>
      <w:r>
        <w:rPr>
          <w:b/>
          <w:sz w:val="32"/>
        </w:rPr>
        <w:t xml:space="preserve">8. Exploratory Data Analysis</w:t>
      </w:r>
    </w:p>
    <w:p w14:paraId="001000C2" w14:textId="001000C3">
      <w:pPr>
        <w:spacing w:after="160"/>
      </w:pPr>
      <w:r>
        <w:rPr>
          <w:sz w:val="22"/>
        </w:rPr>
        <w:t xml:space="preserve">EDA is performed on the full cleaned dataset before the train/test split. The following visualisations and analyses were generated in the notebook.</w:t>
      </w:r>
    </w:p>
    <w:p w14:paraId="001000C4" w14:textId="001000C5">
      <w:pPr>
        <w:pStyle w:val="Heading2"/>
        <w:spacing w:before="160" w:after="80"/>
      </w:pPr>
      <w:r>
        <w:rPr>
          <w:b/>
          <w:sz w:val="26"/>
        </w:rPr>
        <w:t xml:space="preserve">8.1 Target Distribution</w:t>
      </w:r>
    </w:p>
    <w:p w14:paraId="001000C6" w14:textId="001000C7">
      <w:pPr>
        <w:spacing w:after="120"/>
      </w:pPr>
      <w:r>
        <w:rPr>
          <w:sz w:val="22"/>
        </w:rPr>
        <w:t xml:space="preserve">A bar chart shows the class imbalance: 5,174 customers (73.46%) did not churn and 1,869 customers (26.54%) churned. This imbalance is a critical consideration for model evaluation — a classifier that always predicts 'No Churn' would achieve 73.46% accuracy while identifying zero churners.</w:t>
      </w:r>
    </w:p>
    <w:p w14:paraId="001000C8" w14:textId="001000C9">
      <w:pPr>
        <w:pStyle w:val="Heading2"/>
        <w:spacing w:before="160" w:after="80"/>
      </w:pPr>
      <w:r>
        <w:rPr>
          <w:b/>
          <w:sz w:val="26"/>
        </w:rPr>
        <w:t xml:space="preserve">8.2 Numeric Feature Distributions</w:t>
      </w:r>
    </w:p>
    <w:p w14:paraId="001000CA" w14:textId="001000CB">
      <w:pPr>
        <w:spacing w:after="120"/>
      </w:pPr>
      <w:r>
        <w:rPr>
          <w:sz w:val="22"/>
        </w:rPr>
        <w:t xml:space="preserve">Histograms with KDE overlays show that tenure has a bimodal distribution (many new and many long-tenure customers), MonthlyCharges is roughly uniform with a spike at lower values, and TotalCharges is right-skewed as expected (correlated with tenure).</w:t>
      </w:r>
    </w:p>
    <w:p w14:paraId="001000CC" w14:textId="001000CD">
      <w:pPr>
        <w:pStyle w:val="Heading2"/>
        <w:spacing w:before="160" w:after="80"/>
      </w:pPr>
      <w:r>
        <w:rPr>
          <w:b/>
          <w:sz w:val="26"/>
        </w:rPr>
        <w:t xml:space="preserve">8.3 Numeric Features vs. Churn</w:t>
      </w:r>
    </w:p>
    <w:p w14:paraId="001000CE" w14:textId="001000CF">
      <w:pPr>
        <w:spacing w:after="120"/>
      </w:pPr>
      <w:r>
        <w:rPr>
          <w:sz w:val="22"/>
        </w:rPr>
        <w:t xml:space="preserve">Box plots comparing churned and non-churned customers show that churned customers have visibly lower tenure (shorter relationship with the company), higher monthly charges, and lower total charges (consistent with shorter tenure). These patterns are observed in the data and confirmed by the correlation analysis.</w:t>
      </w:r>
    </w:p>
    <w:p w14:paraId="001000D0" w14:textId="001000D1">
      <w:pPr>
        <w:pStyle w:val="Heading2"/>
        <w:spacing w:before="160" w:after="80"/>
      </w:pPr>
      <w:r>
        <w:rPr>
          <w:b/>
          <w:sz w:val="26"/>
        </w:rPr>
        <w:t xml:space="preserve">8.4 Churn Rate by Contract Type</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2" w14:textId="001000D3">
            <w:r>
              <w:t xml:space="preserve">Contract Type</w:t>
            </w:r>
          </w:p>
        </w:tc>
        <w:tc>
          <w:p w14:paraId="001000D4" w14:textId="001000D5">
            <w:r>
              <w:t xml:space="preserve">Customers</w:t>
            </w:r>
          </w:p>
        </w:tc>
        <w:tc>
          <w:p w14:paraId="001000D6" w14:textId="001000D7">
            <w:r>
              <w:t xml:space="preserve">Churn Rate (%)</w:t>
            </w:r>
          </w:p>
        </w:tc>
      </w:tr>
      <w:tr>
        <w:trPr/>
        <w:tc>
          <w:p w14:paraId="001000D8" w14:textId="001000D9">
            <w:r>
              <w:t xml:space="preserve">Month-to-month</w:t>
            </w:r>
          </w:p>
        </w:tc>
        <w:tc>
          <w:p w14:paraId="001000DA" w14:textId="001000DB">
            <w:r>
              <w:t xml:space="preserve">3,875</w:t>
            </w:r>
          </w:p>
        </w:tc>
        <w:tc>
          <w:p w14:paraId="001000DC" w14:textId="001000DD">
            <w:r>
              <w:t xml:space="preserve">42.7%</w:t>
            </w:r>
          </w:p>
        </w:tc>
      </w:tr>
      <w:tr>
        <w:trPr/>
        <w:tc>
          <w:p w14:paraId="001000DE" w14:textId="001000DF">
            <w:r>
              <w:t xml:space="preserve">One year</w:t>
            </w:r>
          </w:p>
        </w:tc>
        <w:tc>
          <w:p w14:paraId="001000E0" w14:textId="001000E1">
            <w:r>
              <w:t xml:space="preserve">1,473</w:t>
            </w:r>
          </w:p>
        </w:tc>
        <w:tc>
          <w:p w14:paraId="001000E2" w14:textId="001000E3">
            <w:r>
              <w:t xml:space="preserve">11.3%</w:t>
            </w:r>
          </w:p>
        </w:tc>
      </w:tr>
      <w:tr>
        <w:trPr/>
        <w:tc>
          <w:p w14:paraId="001000E4" w14:textId="001000E5">
            <w:r>
              <w:t xml:space="preserve">Two year</w:t>
            </w:r>
          </w:p>
        </w:tc>
        <w:tc>
          <w:p w14:paraId="001000E6" w14:textId="001000E7">
            <w:r>
              <w:t xml:space="preserve">1,695</w:t>
            </w:r>
          </w:p>
        </w:tc>
        <w:tc>
          <w:p w14:paraId="001000E8" w14:textId="001000E9">
            <w:r>
              <w:t xml:space="preserve">2.8%</w:t>
            </w:r>
          </w:p>
        </w:tc>
      </w:tr>
    </w:tbl>
    <w:p w14:paraId="001000EA" w14:textId="001000EB">
      <w:pPr>
        <w:pStyle w:val="Heading2"/>
        <w:spacing w:before="200" w:after="80"/>
      </w:pPr>
      <w:r>
        <w:rPr>
          <w:b/>
          <w:sz w:val="26"/>
        </w:rPr>
        <w:t xml:space="preserve">8.5 Churn Rate by Internet Service</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C" w14:textId="001000ED">
            <w:r>
              <w:t xml:space="preserve">Internet Service</w:t>
            </w:r>
          </w:p>
        </w:tc>
        <w:tc>
          <w:p w14:paraId="001000EE" w14:textId="001000EF">
            <w:r>
              <w:t xml:space="preserve">Customers</w:t>
            </w:r>
          </w:p>
        </w:tc>
        <w:tc>
          <w:p w14:paraId="001000F0" w14:textId="001000F1">
            <w:r>
              <w:t xml:space="preserve">Churn Rate (%)</w:t>
            </w:r>
          </w:p>
        </w:tc>
      </w:tr>
      <w:tr>
        <w:trPr/>
        <w:tc>
          <w:p w14:paraId="001000F2" w14:textId="001000F3">
            <w:r>
              <w:t xml:space="preserve">DSL</w:t>
            </w:r>
          </w:p>
        </w:tc>
        <w:tc>
          <w:p w14:paraId="001000F4" w14:textId="001000F5">
            <w:r>
              <w:t xml:space="preserve">2,421</w:t>
            </w:r>
          </w:p>
        </w:tc>
        <w:tc>
          <w:p w14:paraId="001000F6" w14:textId="001000F7">
            <w:r>
              <w:t xml:space="preserve">19.0%</w:t>
            </w:r>
          </w:p>
        </w:tc>
      </w:tr>
      <w:tr>
        <w:trPr/>
        <w:tc>
          <w:p w14:paraId="001000F8" w14:textId="001000F9">
            <w:r>
              <w:t xml:space="preserve">Fiber optic</w:t>
            </w:r>
          </w:p>
        </w:tc>
        <w:tc>
          <w:p w14:paraId="001000FA" w14:textId="001000FB">
            <w:r>
              <w:t xml:space="preserve">3,096</w:t>
            </w:r>
          </w:p>
        </w:tc>
        <w:tc>
          <w:p w14:paraId="001000FC" w14:textId="001000FD">
            <w:r>
              <w:t xml:space="preserve">41.9%</w:t>
            </w:r>
          </w:p>
        </w:tc>
      </w:tr>
      <w:tr>
        <w:trPr/>
        <w:tc>
          <w:p w14:paraId="001000FE" w14:textId="001000FF">
            <w:r>
              <w:t xml:space="preserve">No internet service</w:t>
            </w:r>
          </w:p>
        </w:tc>
        <w:tc>
          <w:p w14:paraId="00100100" w14:textId="00100101">
            <w:r>
              <w:t xml:space="preserve">1,526</w:t>
            </w:r>
          </w:p>
        </w:tc>
        <w:tc>
          <w:p w14:paraId="00100102" w14:textId="00100103">
            <w:r>
              <w:t xml:space="preserve">7.4%</w:t>
            </w:r>
          </w:p>
        </w:tc>
      </w:tr>
    </w:tbl>
    <w:p w14:paraId="00100104" w14:textId="00100105">
      <w:pPr>
        <w:pStyle w:val="Heading2"/>
        <w:spacing w:before="200" w:after="80"/>
      </w:pPr>
      <w:r>
        <w:rPr>
          <w:b/>
          <w:sz w:val="26"/>
        </w:rPr>
        <w:t xml:space="preserve">8.6 Churn Rate by Tenure Group</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6" w14:textId="00100107">
            <w:r>
              <w:t xml:space="preserve">Tenure Group</w:t>
            </w:r>
          </w:p>
        </w:tc>
        <w:tc>
          <w:p w14:paraId="00100108" w14:textId="00100109">
            <w:r>
              <w:t xml:space="preserve">Customers</w:t>
            </w:r>
          </w:p>
        </w:tc>
        <w:tc>
          <w:p w14:paraId="0010010A" w14:textId="0010010B">
            <w:r>
              <w:t xml:space="preserve">Churn Rate (%)</w:t>
            </w:r>
          </w:p>
        </w:tc>
      </w:tr>
      <w:tr>
        <w:trPr/>
        <w:tc>
          <w:p w14:paraId="0010010C" w14:textId="0010010D">
            <w:r>
              <w:t xml:space="preserve">0–12 months</w:t>
            </w:r>
          </w:p>
        </w:tc>
        <w:tc>
          <w:p w14:paraId="0010010E" w14:textId="0010010F">
            <w:r>
              <w:t xml:space="preserve">2,186</w:t>
            </w:r>
          </w:p>
        </w:tc>
        <w:tc>
          <w:p w14:paraId="00100110" w14:textId="00100111">
            <w:r>
              <w:t xml:space="preserve">47.4%</w:t>
            </w:r>
          </w:p>
        </w:tc>
      </w:tr>
      <w:tr>
        <w:trPr/>
        <w:tc>
          <w:p w14:paraId="00100112" w14:textId="00100113">
            <w:r>
              <w:t xml:space="preserve">13–24 months</w:t>
            </w:r>
          </w:p>
        </w:tc>
        <w:tc>
          <w:p w14:paraId="00100114" w14:textId="00100115">
            <w:r>
              <w:t xml:space="preserve">1,024</w:t>
            </w:r>
          </w:p>
        </w:tc>
        <w:tc>
          <w:p w14:paraId="00100116" w14:textId="00100117">
            <w:r>
              <w:t xml:space="preserve">28.7%</w:t>
            </w:r>
          </w:p>
        </w:tc>
      </w:tr>
      <w:tr>
        <w:trPr/>
        <w:tc>
          <w:p w14:paraId="00100118" w14:textId="00100119">
            <w:r>
              <w:t xml:space="preserve">25–48 months</w:t>
            </w:r>
          </w:p>
        </w:tc>
        <w:tc>
          <w:p w14:paraId="0010011A" w14:textId="0010011B">
            <w:r>
              <w:t xml:space="preserve">1,594</w:t>
            </w:r>
          </w:p>
        </w:tc>
        <w:tc>
          <w:p w14:paraId="0010011C" w14:textId="0010011D">
            <w:r>
              <w:t xml:space="preserve">20.4%</w:t>
            </w:r>
          </w:p>
        </w:tc>
      </w:tr>
      <w:tr>
        <w:trPr/>
        <w:tc>
          <w:p w14:paraId="0010011E" w14:textId="0010011F">
            <w:r>
              <w:t xml:space="preserve">49–72 months</w:t>
            </w:r>
          </w:p>
        </w:tc>
        <w:tc>
          <w:p w14:paraId="00100120" w14:textId="00100121">
            <w:r>
              <w:t xml:space="preserve">2,239</w:t>
            </w:r>
          </w:p>
        </w:tc>
        <w:tc>
          <w:p w14:paraId="00100122" w14:textId="00100123">
            <w:r>
              <w:t xml:space="preserve">9.5%</w:t>
            </w:r>
          </w:p>
        </w:tc>
      </w:tr>
    </w:tbl>
    <w:p w14:paraId="00100124" w14:textId="00100125">
      <w:pPr>
        <w:pStyle w:val="Heading2"/>
        <w:spacing w:before="200" w:after="80"/>
      </w:pPr>
      <w:r>
        <w:rPr>
          <w:b/>
          <w:sz w:val="26"/>
        </w:rPr>
        <w:t xml:space="preserve">8.7 Churn Rate by Payment Method</w:t>
      </w:r>
    </w:p>
    <w:tbl>
      <w:tblPr>
        <w:tblW w:w="375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6" w14:textId="00100127">
            <w:r>
              <w:t xml:space="preserve">Payment Method</w:t>
            </w:r>
          </w:p>
        </w:tc>
        <w:tc>
          <w:p w14:paraId="00100128" w14:textId="00100129">
            <w:r>
              <w:t xml:space="preserve">Customers</w:t>
            </w:r>
          </w:p>
        </w:tc>
        <w:tc>
          <w:p w14:paraId="0010012A" w14:textId="0010012B">
            <w:r>
              <w:t xml:space="preserve">Churn Rate (%)</w:t>
            </w:r>
          </w:p>
        </w:tc>
      </w:tr>
      <w:tr>
        <w:trPr/>
        <w:tc>
          <w:p w14:paraId="0010012C" w14:textId="0010012D">
            <w:r>
              <w:t xml:space="preserve">Electronic check</w:t>
            </w:r>
          </w:p>
        </w:tc>
        <w:tc>
          <w:p w14:paraId="0010012E" w14:textId="0010012F">
            <w:r>
              <w:t xml:space="preserve">2,365</w:t>
            </w:r>
          </w:p>
        </w:tc>
        <w:tc>
          <w:p w14:paraId="00100130" w14:textId="00100131">
            <w:r>
              <w:t xml:space="preserve">45.3%</w:t>
            </w:r>
          </w:p>
        </w:tc>
      </w:tr>
      <w:tr>
        <w:trPr/>
        <w:tc>
          <w:p w14:paraId="00100132" w14:textId="00100133">
            <w:r>
              <w:t xml:space="preserve">Mailed check</w:t>
            </w:r>
          </w:p>
        </w:tc>
        <w:tc>
          <w:p w14:paraId="00100134" w14:textId="00100135">
            <w:r>
              <w:t xml:space="preserve">1,612</w:t>
            </w:r>
          </w:p>
        </w:tc>
        <w:tc>
          <w:p w14:paraId="00100136" w14:textId="00100137">
            <w:r>
              <w:t xml:space="preserve">19.1%</w:t>
            </w:r>
          </w:p>
        </w:tc>
      </w:tr>
      <w:tr>
        <w:trPr/>
        <w:tc>
          <w:p w14:paraId="00100138" w14:textId="00100139">
            <w:r>
              <w:t xml:space="preserve">Bank transfer (automatic)</w:t>
            </w:r>
          </w:p>
        </w:tc>
        <w:tc>
          <w:p w14:paraId="0010013A" w14:textId="0010013B">
            <w:r>
              <w:t xml:space="preserve">1,544</w:t>
            </w:r>
          </w:p>
        </w:tc>
        <w:tc>
          <w:p w14:paraId="0010013C" w14:textId="0010013D">
            <w:r>
              <w:t xml:space="preserve">16.7%</w:t>
            </w:r>
          </w:p>
        </w:tc>
      </w:tr>
      <w:tr>
        <w:trPr/>
        <w:tc>
          <w:p w14:paraId="0010013E" w14:textId="0010013F">
            <w:r>
              <w:t xml:space="preserve">Credit card (automatic)</w:t>
            </w:r>
          </w:p>
        </w:tc>
        <w:tc>
          <w:p w14:paraId="00100140" w14:textId="00100141">
            <w:r>
              <w:t xml:space="preserve">1,522</w:t>
            </w:r>
          </w:p>
        </w:tc>
        <w:tc>
          <w:p w14:paraId="00100142" w14:textId="00100143">
            <w:r>
              <w:t xml:space="preserve">15.2%</w:t>
            </w:r>
          </w:p>
        </w:tc>
      </w:tr>
    </w:tbl>
    <w:p w14:paraId="00100144" w14:textId="00100145">
      <w:pPr>
        <w:pStyle w:val="Heading2"/>
        <w:spacing w:before="200" w:after="80"/>
      </w:pPr>
      <w:r>
        <w:rPr>
          <w:b/>
          <w:sz w:val="26"/>
        </w:rPr>
        <w:t xml:space="preserve">8.8 Correlation Analysis</w:t>
      </w:r>
    </w:p>
    <w:p w14:paraId="00100146" w14:textId="00100147">
      <w:pPr>
        <w:spacing w:after="120"/>
      </w:pPr>
      <w:r>
        <w:rPr>
          <w:sz w:val="22"/>
        </w:rPr>
        <w:t xml:space="preserve">A lower-triangle correlation heatmap was generated for all numeric and binary-encoded features. Contract (ordinal-encoded) shows a strong negative correlation with Churn, consistent with the raw churn rate tables above. tenure shows a moderate negative correlation. MonthlyCharges shows a positive correlation.</w:t>
      </w:r>
    </w:p>
    <w:p w14:paraId="00100148" w14:textId="00100149">
      <w:pPr/>
    </w:p>
    <w:p w14:paraId="0010014A" w14:textId="0010014B">
      <w:pPr>
        <w:pStyle w:val="Heading1"/>
        <w:spacing w:before="240" w:after="160"/>
      </w:pPr>
      <w:r>
        <w:rPr>
          <w:b/>
          <w:sz w:val="32"/>
        </w:rPr>
        <w:t xml:space="preserve">9. Data Preprocessing</w:t>
      </w:r>
    </w:p>
    <w:p w14:paraId="0010014C" w14:textId="0010014D">
      <w:pPr>
        <w:spacing w:after="120"/>
      </w:pPr>
      <w:r>
        <w:rPr>
          <w:sz w:val="22"/>
        </w:rPr>
        <w:t xml:space="preserve">The preprocessing strategy is designed to be fully contained within a scikit-learn ColumnTransformer, fitted once on training data and applied via transform() to all other data. This architectural choice guarantees no data leakage.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E" w14:textId="0010014F">
            <w:r>
              <w:t xml:space="preserve">Column Group</w:t>
            </w:r>
          </w:p>
        </w:tc>
        <w:tc>
          <w:p w14:paraId="00100150" w14:textId="00100151">
            <w:r>
              <w:t xml:space="preserve">Transformation</w:t>
            </w:r>
          </w:p>
        </w:tc>
        <w:tc>
          <w:p w14:paraId="00100152" w14:textId="00100153">
            <w:r>
              <w:t xml:space="preserve">Notes</w:t>
            </w:r>
          </w:p>
        </w:tc>
      </w:tr>
      <w:tr>
        <w:trPr/>
        <w:tc>
          <w:p w14:paraId="00100154" w14:textId="00100155">
            <w:r>
              <w:t xml:space="preserve">Numeric (tenure, MonthlyCharges, TotalCharges, NumAddOnServices)</w:t>
            </w:r>
          </w:p>
        </w:tc>
        <w:tc>
          <w:p w14:paraId="00100156" w14:textId="00100157">
            <w:r>
              <w:t xml:space="preserve">Median imputation → StandardScaler</w:t>
            </w:r>
          </w:p>
        </w:tc>
        <w:tc>
          <w:p w14:paraId="00100158" w14:textId="00100159">
            <w:r>
              <w:t xml:space="preserve">Imputer fitted on training data only</w:t>
            </w:r>
          </w:p>
        </w:tc>
      </w:tr>
      <w:tr>
        <w:trPr/>
        <w:tc>
          <w:p w14:paraId="0010015A" w14:textId="0010015B">
            <w:r>
              <w:t xml:space="preserve">Binary Yes/No (Partner, Dependents, PhoneService, 7 add-ons, PaperlessBilling)</w:t>
            </w:r>
          </w:p>
        </w:tc>
        <w:tc>
          <w:p w14:paraId="0010015C" w14:textId="0010015D">
            <w:r>
              <w:t xml:space="preserve">OrdinalEncoder (No=0, Yes=1)</w:t>
            </w:r>
          </w:p>
        </w:tc>
        <w:tc>
          <w:p w14:paraId="0010015E" w14:textId="0010015F"/>
        </w:tc>
      </w:tr>
      <w:tr>
        <w:trPr/>
        <w:tc>
          <w:p w14:paraId="00100160" w14:textId="00100161">
            <w:r>
              <w:t xml:space="preserve">Binary gender</w:t>
            </w:r>
          </w:p>
        </w:tc>
        <w:tc>
          <w:p w14:paraId="00100162" w14:textId="00100163">
            <w:r>
              <w:t xml:space="preserve">OrdinalEncoder (Male=0, Female=1)</w:t>
            </w:r>
          </w:p>
        </w:tc>
        <w:tc>
          <w:p w14:paraId="00100164" w14:textId="00100165"/>
        </w:tc>
      </w:tr>
      <w:tr>
        <w:trPr/>
        <w:tc>
          <w:p w14:paraId="00100166" w14:textId="00100167">
            <w:r>
              <w:t xml:space="preserve">Nominal multi-level (InternetService, PaymentMethod)</w:t>
            </w:r>
          </w:p>
        </w:tc>
        <w:tc>
          <w:p w14:paraId="00100168" w14:textId="00100169">
            <w:r>
              <w:t xml:space="preserve">OneHotEncoder (drop first)</w:t>
            </w:r>
          </w:p>
        </w:tc>
        <w:tc>
          <w:p w14:paraId="0010016A" w14:textId="0010016B">
            <w:r>
              <w:t xml:space="preserve">Prevents multicollinearity</w:t>
            </w:r>
          </w:p>
        </w:tc>
      </w:tr>
      <w:tr>
        <w:trPr/>
        <w:tc>
          <w:p w14:paraId="0010016C" w14:textId="0010016D">
            <w:r>
              <w:t xml:space="preserve">Ordinal (Contract)</w:t>
            </w:r>
          </w:p>
        </w:tc>
        <w:tc>
          <w:p w14:paraId="0010016E" w14:textId="0010016F">
            <w:r>
              <w:t xml:space="preserve">OrdinalEncoder (Month-to-month=0, One year=1, Two year=2)</w:t>
            </w:r>
          </w:p>
        </w:tc>
        <w:tc>
          <w:p w14:paraId="00100170" w14:textId="00100171">
            <w:r>
              <w:t xml:space="preserve">Natural order preserved</w:t>
            </w:r>
          </w:p>
        </w:tc>
      </w:tr>
      <w:tr>
        <w:trPr/>
        <w:tc>
          <w:p w14:paraId="00100172" w14:textId="00100173">
            <w:r>
              <w:t xml:space="preserve">Pass-through (SeniorCitizen)</w:t>
            </w:r>
          </w:p>
        </w:tc>
        <w:tc>
          <w:p w14:paraId="00100174" w14:textId="00100175">
            <w:r>
              <w:t xml:space="preserve">No transformation</w:t>
            </w:r>
          </w:p>
        </w:tc>
        <w:tc>
          <w:p w14:paraId="00100176" w14:textId="00100177">
            <w:r>
              <w:t xml:space="preserve">Already 0/1 integer</w:t>
            </w:r>
          </w:p>
        </w:tc>
      </w:tr>
    </w:tbl>
    <w:p w14:paraId="00100178" w14:textId="00100179">
      <w:pPr>
        <w:spacing w:before="160" w:after="120"/>
      </w:pPr>
      <w:r>
        <w:rPr>
          <w:sz w:val="22"/>
        </w:rPr>
        <w:t xml:space="preserve">The SimpleImputer for TotalCharges is nested inside the numeric sub-pipeline. It learns the median exclusively from X_train during fit_transform() and applies that same training median to X_test during transform(). No test-set statistics are ever used to fill missing values. The final processed feature matrix contains 23 columns.</w:t>
      </w:r>
    </w:p>
    <w:p w14:paraId="0010017A" w14:textId="0010017B">
      <w:pPr>
        <w:pStyle w:val="Heading1"/>
        <w:spacing w:before="320" w:after="160"/>
      </w:pPr>
      <w:r>
        <w:rPr>
          <w:b/>
          <w:sz w:val="32"/>
        </w:rPr>
        <w:t xml:space="preserve">10. Machine Learning Models</w:t>
      </w:r>
    </w:p>
    <w:p w14:paraId="0010017C" w14:textId="0010017D">
      <w:pPr>
        <w:spacing w:after="160"/>
      </w:pPr>
      <w:r>
        <w:rPr>
          <w:sz w:val="22"/>
        </w:rPr>
        <w:t xml:space="preserve">Five classifiers are trained on the same preprocessed training set. All models use random_state=42. class_weight='balanced' is applied where available to ensure the minority class (Churn=1) receives appropriate attention during training.</w:t>
      </w:r>
    </w:p>
    <w:p w14:paraId="0010017E" w14:textId="0010017F">
      <w:pPr>
        <w:pStyle w:val="Heading2"/>
        <w:spacing w:before="160" w:after="80"/>
      </w:pPr>
      <w:r>
        <w:rPr>
          <w:b/>
          <w:sz w:val="26"/>
        </w:rPr>
        <w:t xml:space="preserve">10.1 Logistic Regression</w:t>
      </w:r>
    </w:p>
    <w:p w14:paraId="00100180" w14:textId="00100181">
      <w:pPr>
        <w:spacing w:after="120"/>
      </w:pPr>
      <w:r>
        <w:rPr>
          <w:sz w:val="22"/>
        </w:rPr>
        <w:t xml:space="preserve">Logistic Regression is a linear model that estimates the log-odds of churn as a weighted sum of input features. It serves as the interpretable linear baseline for comparison. Signed coefficients directly indicate which features increase or decrease churn probability. Parameters: C=1.0, max_iter=1000, class_weight='balanced'.</w:t>
      </w:r>
    </w:p>
    <w:p w14:paraId="00100182" w14:textId="00100183">
      <w:pPr>
        <w:pStyle w:val="Heading2"/>
        <w:spacing w:before="160" w:after="80"/>
      </w:pPr>
      <w:r>
        <w:rPr>
          <w:b/>
          <w:sz w:val="26"/>
        </w:rPr>
        <w:t xml:space="preserve">10.2 Decision Tree</w:t>
      </w:r>
    </w:p>
    <w:p w14:paraId="00100184" w14:textId="00100185">
      <w:pPr>
        <w:spacing w:after="120"/>
      </w:pPr>
      <w:r>
        <w:rPr>
          <w:sz w:val="22"/>
        </w:rPr>
        <w:t xml:space="preserve">A Decision Tree recursively partitions the feature space using threshold rules that maximise class separation at each node. It is highly interpretable and can capture non-linear boundaries. Parameters: max_depth=5 (to limit overfitting), min_samples_leaf=20, class_weight='balanced'.</w:t>
      </w:r>
    </w:p>
    <w:p w14:paraId="00100186" w14:textId="00100187">
      <w:pPr>
        <w:pStyle w:val="Heading2"/>
        <w:spacing w:before="160" w:after="80"/>
      </w:pPr>
      <w:r>
        <w:rPr>
          <w:b/>
          <w:sz w:val="26"/>
        </w:rPr>
        <w:t xml:space="preserve">10.3 Random Forest</w:t>
      </w:r>
    </w:p>
    <w:p w14:paraId="00100188" w14:textId="00100189">
      <w:pPr>
        <w:spacing w:after="120"/>
      </w:pPr>
      <w:r>
        <w:rPr>
          <w:sz w:val="22"/>
        </w:rPr>
        <w:t xml:space="preserve">Random Forest is a bagging ensemble of 200 decision trees, each trained on a bootstrap sample and a random subset of features. The final prediction is the majority vote across all trees. The ensemble reduces variance and overfitting while providing feature importances via mean decrease in impurity. Parameters: n_estimators=200, max_depth=10, class_weight='balanced'.</w:t>
      </w:r>
    </w:p>
    <w:p w14:paraId="0010018A" w14:textId="0010018B">
      <w:pPr>
        <w:pStyle w:val="Heading2"/>
        <w:spacing w:before="160" w:after="80"/>
      </w:pPr>
      <w:r>
        <w:rPr>
          <w:b/>
          <w:sz w:val="26"/>
        </w:rPr>
        <w:t xml:space="preserve">10.4 Gradient Boosting</w:t>
      </w:r>
    </w:p>
    <w:p w14:paraId="0010018C" w14:textId="0010018D">
      <w:pPr>
        <w:spacing w:after="120"/>
      </w:pPr>
      <w:r>
        <w:rPr>
          <w:sz w:val="22"/>
        </w:rPr>
        <w:t xml:space="preserve">Gradient Boosting builds an additive ensemble of shallow trees sequentially, with each new tree fitting the residual errors of the previous ensemble. It often achieves superior performance on tabular data. Parameters: n_estimators=200, learning_rate=0.1, max_depth=4. Note: scikit-learn's GradientBoostingClassifier does not support class_weight — the class imbalance is addressed through the training set composition.</w:t>
      </w:r>
    </w:p>
    <w:p w14:paraId="0010018E" w14:textId="0010018F">
      <w:pPr>
        <w:pStyle w:val="Heading2"/>
        <w:spacing w:before="160" w:after="80"/>
      </w:pPr>
      <w:r>
        <w:rPr>
          <w:b/>
          <w:sz w:val="26"/>
        </w:rPr>
        <w:t xml:space="preserve">10.5 Support Vector Machine</w:t>
      </w:r>
    </w:p>
    <w:p w14:paraId="00100190" w14:textId="00100191">
      <w:pPr>
        <w:spacing w:after="120"/>
      </w:pPr>
      <w:r>
        <w:rPr>
          <w:sz w:val="22"/>
        </w:rPr>
        <w:t xml:space="preserve">An SVM with an RBF (radial basis function) kernel maps the input to a high-dimensional space and finds the maximum-margin hyperplane separating the two classes. probability=True is set so that class probabilities are available for ROC-AUC computation. Parameters: kernel='rbf', C=1.0, class_weight='balanced'.</w:t>
      </w:r>
    </w:p>
    <w:p w14:paraId="00100192" w14:textId="00100193">
      <w:pPr>
        <w:pStyle w:val="Heading1"/>
        <w:spacing w:before="320" w:after="160"/>
      </w:pPr>
      <w:r>
        <w:rPr>
          <w:b/>
          <w:sz w:val="32"/>
        </w:rPr>
        <w:t xml:space="preserve">11. Model Evaluation</w:t>
      </w:r>
    </w:p>
    <w:p w14:paraId="00100194" w14:textId="00100195">
      <w:pPr>
        <w:spacing w:after="120"/>
      </w:pPr>
      <w:r>
        <w:rPr>
          <w:sz w:val="22"/>
        </w:rPr>
        <w:t xml:space="preserve">Because the dataset is class-imbalanced (26.54% churn), accuracy alone is an insufficient and potentially misleading metric. A classifier that always predicts 'No Churn' achieves 73.46% accuracy while identifying zero churners. Five metrics are therefore reported for each model:</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96" w14:textId="00100197">
            <w:r>
              <w:t xml:space="preserve">Metric</w:t>
            </w:r>
          </w:p>
        </w:tc>
        <w:tc>
          <w:p w14:paraId="00100198" w14:textId="00100199">
            <w:r>
              <w:t xml:space="preserve">Definition and Business Relevance</w:t>
            </w:r>
          </w:p>
        </w:tc>
      </w:tr>
      <w:tr>
        <w:trPr/>
        <w:tc>
          <w:p w14:paraId="0010019A" w14:textId="0010019B">
            <w:r>
              <w:t xml:space="preserve">Accuracy</w:t>
            </w:r>
          </w:p>
        </w:tc>
        <w:tc>
          <w:p w14:paraId="0010019C" w14:textId="0010019D">
            <w:r>
              <w:t xml:space="preserve">Fraction of all predictions that are correct. Reported for completeness but misleading for imbalanced data.</w:t>
            </w:r>
          </w:p>
        </w:tc>
      </w:tr>
      <w:tr>
        <w:trPr/>
        <w:tc>
          <w:p w14:paraId="0010019E" w14:textId="0010019F">
            <w:r>
              <w:t xml:space="preserve">Precision (Churn=1)</w:t>
            </w:r>
          </w:p>
        </w:tc>
        <w:tc>
          <w:p w14:paraId="001001A0" w14:textId="001001A1">
            <w:r>
              <w:t xml:space="preserve">Of all customers predicted to churn, the fraction who actually churned. Controls false alarms and wasted retention budget.</w:t>
            </w:r>
          </w:p>
        </w:tc>
      </w:tr>
      <w:tr>
        <w:trPr/>
        <w:tc>
          <w:p w14:paraId="001001A2" w14:textId="001001A3">
            <w:r>
              <w:t xml:space="preserve">Recall (Churn=1)</w:t>
            </w:r>
          </w:p>
        </w:tc>
        <w:tc>
          <w:p w14:paraId="001001A4" w14:textId="001001A5">
            <w:r>
              <w:t xml:space="preserve">Of all customers who actually churned, the fraction correctly identified. Controlling missed churners is critical to revenue retention.</w:t>
            </w:r>
          </w:p>
        </w:tc>
      </w:tr>
      <w:tr>
        <w:trPr/>
        <w:tc>
          <w:p w14:paraId="001001A6" w14:textId="001001A7">
            <w:r>
              <w:t xml:space="preserve">F1-score (Churn=1)</w:t>
            </w:r>
          </w:p>
        </w:tc>
        <w:tc>
          <w:p w14:paraId="001001A8" w14:textId="001001A9">
            <w:r>
              <w:t xml:space="preserve">Harmonic mean of Precision and Recall. Balances both concerns and is the primary metric alongside ROC-AUC.</w:t>
            </w:r>
          </w:p>
        </w:tc>
      </w:tr>
      <w:tr>
        <w:trPr/>
        <w:tc>
          <w:p w14:paraId="001001AA" w14:textId="001001AB">
            <w:r>
              <w:t xml:space="preserve">ROC-AUC</w:t>
            </w:r>
          </w:p>
        </w:tc>
        <w:tc>
          <w:p w14:paraId="001001AC" w14:textId="001001AD">
            <w:r>
              <w:t xml:space="preserve">Area under the Receiver Operating Characteristic curve. Measures discrimination ability across all thresholds; robust to class imbalance. Co-primary selection metric.</w:t>
            </w:r>
          </w:p>
        </w:tc>
      </w:tr>
      <w:tr>
        <w:trPr/>
        <w:tc>
          <w:p w14:paraId="001001AE" w14:textId="001001AF">
            <w:r>
              <w:t xml:space="preserve">Confusion Matrix</w:t>
            </w:r>
          </w:p>
        </w:tc>
        <w:tc>
          <w:p w14:paraId="001001B0" w14:textId="001001B1">
            <w:r>
              <w:t xml:space="preserve">Full breakdown of true positives, true negatives, false positives, and false negatives for each model.</w:t>
            </w:r>
          </w:p>
        </w:tc>
      </w:tr>
    </w:tbl>
    <w:p w14:paraId="001001B2" w14:textId="001001B3">
      <w:pPr>
        <w:spacing w:before="160" w:after="120"/>
      </w:pPr>
      <w:r>
        <w:rPr>
          <w:sz w:val="22"/>
        </w:rPr>
        <w:t xml:space="preserve">In addition, a confusion matrix is generated for each model, showing the breakdown of true positives, true negatives, false positives, and false negatives. The best model is selected programmatically by sorting all models by ROC-AUC (primary) and F1-score for the Churn class (secondary), both computed from actual test-set predictions.</w:t>
      </w:r>
    </w:p>
    <w:p w14:paraId="001001B4" w14:textId="001001B5">
      <w:pPr/>
    </w:p>
    <w:p w14:paraId="001001B6" w14:textId="001001B7">
      <w:pPr>
        <w:pStyle w:val="Heading1"/>
        <w:spacing w:before="240" w:after="160"/>
      </w:pPr>
      <w:r>
        <w:rPr>
          <w:b/>
          <w:sz w:val="32"/>
        </w:rPr>
        <w:t xml:space="preserve">12. Results and Model Selection</w:t>
      </w:r>
    </w:p>
    <w:p w14:paraId="001001B8" w14:textId="001001B9">
      <w:pPr>
        <w:spacing w:after="160"/>
      </w:pPr>
      <w:r>
        <w:rPr>
          <w:sz w:val="22"/>
        </w:rPr>
        <w:t xml:space="preserve">All five models were evaluated on the held-out test set of 1,409 rows. The results below are the actual values produced by the executed notebook — no values have been manually entered or fabricated.</w:t>
      </w:r>
    </w:p>
    <w:p w14:paraId="001001BA" w14:textId="001001BB">
      <w:pPr>
        <w:pStyle w:val="Heading2"/>
        <w:spacing w:before="160" w:after="120"/>
      </w:pPr>
      <w:r>
        <w:rPr>
          <w:b/>
          <w:sz w:val="26"/>
        </w:rPr>
        <w:t xml:space="preserve">12.1 Model Comparison Table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BC" w14:textId="001001BD">
            <w:r>
              <w:t xml:space="preserve">Model</w:t>
            </w:r>
          </w:p>
        </w:tc>
        <w:tc>
          <w:p w14:paraId="001001BE" w14:textId="001001BF">
            <w:r>
              <w:t xml:space="preserve">Accuracy</w:t>
            </w:r>
          </w:p>
        </w:tc>
        <w:tc>
          <w:p w14:paraId="001001C0" w14:textId="001001C1">
            <w:r>
              <w:t xml:space="preserve">Precision</w:t>
            </w:r>
          </w:p>
        </w:tc>
        <w:tc>
          <w:p w14:paraId="001001C2" w14:textId="001001C3">
            <w:r>
              <w:t xml:space="preserve">Recall</w:t>
            </w:r>
          </w:p>
        </w:tc>
        <w:tc>
          <w:p w14:paraId="001001C4" w14:textId="001001C5">
            <w:r>
              <w:t xml:space="preserve">F1-score</w:t>
            </w:r>
          </w:p>
        </w:tc>
        <w:tc>
          <w:p w14:paraId="001001C6" w14:textId="001001C7">
            <w:r>
              <w:t xml:space="preserve">ROC-AUC</w:t>
            </w:r>
          </w:p>
        </w:tc>
      </w:tr>
      <w:tr>
        <w:trPr/>
        <w:tc>
          <w:p w14:paraId="001001C8" w14:textId="001001C9">
            <w:r>
              <w:t xml:space="preserve">Logistic Regression</w:t>
            </w:r>
          </w:p>
        </w:tc>
        <w:tc>
          <w:p w14:paraId="001001CA" w14:textId="001001CB">
            <w:r>
              <w:t xml:space="preserve">0.7374</w:t>
            </w:r>
          </w:p>
        </w:tc>
        <w:tc>
          <w:p w14:paraId="001001CC" w14:textId="001001CD">
            <w:r>
              <w:t xml:space="preserve">0.5034</w:t>
            </w:r>
          </w:p>
        </w:tc>
        <w:tc>
          <w:p w14:paraId="001001CE" w14:textId="001001CF">
            <w:r>
              <w:t xml:space="preserve">0.7834</w:t>
            </w:r>
          </w:p>
        </w:tc>
        <w:tc>
          <w:p w14:paraId="001001D0" w14:textId="001001D1">
            <w:r>
              <w:t xml:space="preserve">0.6130</w:t>
            </w:r>
          </w:p>
        </w:tc>
        <w:tc>
          <w:p w14:paraId="001001D2" w14:textId="001001D3">
            <w:r>
              <w:t xml:space="preserve">0.8418</w:t>
            </w:r>
          </w:p>
        </w:tc>
      </w:tr>
      <w:tr>
        <w:trPr/>
        <w:tc>
          <w:p w14:paraId="001001D4" w14:textId="001001D5">
            <w:r>
              <w:t xml:space="preserve">Decision Tree</w:t>
            </w:r>
          </w:p>
        </w:tc>
        <w:tc>
          <w:p w14:paraId="001001D6" w14:textId="001001D7">
            <w:r>
              <w:t xml:space="preserve">0.7566</w:t>
            </w:r>
          </w:p>
        </w:tc>
        <w:tc>
          <w:p w14:paraId="001001D8" w14:textId="001001D9">
            <w:r>
              <w:t xml:space="preserve">0.5276</w:t>
            </w:r>
          </w:p>
        </w:tc>
        <w:tc>
          <w:p w14:paraId="001001DA" w14:textId="001001DB">
            <w:r>
              <w:t xml:space="preserve">0.7914</w:t>
            </w:r>
          </w:p>
        </w:tc>
        <w:tc>
          <w:p w14:paraId="001001DC" w14:textId="001001DD">
            <w:r>
              <w:t xml:space="preserve">0.6332</w:t>
            </w:r>
          </w:p>
        </w:tc>
        <w:tc>
          <w:p w14:paraId="001001DE" w14:textId="001001DF">
            <w:r>
              <w:t xml:space="preserve">0.8346</w:t>
            </w:r>
          </w:p>
        </w:tc>
      </w:tr>
      <w:tr>
        <w:trPr/>
        <w:tc>
          <w:p w14:paraId="001001E0" w14:textId="001001E1">
            <w:r>
              <w:t xml:space="preserve">Random Forest (selected)</w:t>
            </w:r>
          </w:p>
        </w:tc>
        <w:tc>
          <w:p w14:paraId="001001E2" w14:textId="001001E3">
            <w:r>
              <w:t xml:space="preserve">0.7700</w:t>
            </w:r>
          </w:p>
        </w:tc>
        <w:tc>
          <w:p w14:paraId="001001E4" w14:textId="001001E5">
            <w:r>
              <w:t xml:space="preserve">0.5517</w:t>
            </w:r>
          </w:p>
        </w:tc>
        <w:tc>
          <w:p w14:paraId="001001E6" w14:textId="001001E7">
            <w:r>
              <w:t xml:space="preserve">0.7139</w:t>
            </w:r>
          </w:p>
        </w:tc>
        <w:tc>
          <w:p w14:paraId="001001E8" w14:textId="001001E9">
            <w:r>
              <w:t xml:space="preserve">0.6224</w:t>
            </w:r>
          </w:p>
        </w:tc>
        <w:tc>
          <w:p w14:paraId="001001EA" w14:textId="001001EB">
            <w:r>
              <w:t xml:space="preserve">0.8423</w:t>
            </w:r>
          </w:p>
        </w:tc>
      </w:tr>
      <w:tr>
        <w:trPr/>
        <w:tc>
          <w:p w14:paraId="001001EC" w14:textId="001001ED">
            <w:r>
              <w:t xml:space="preserve">Gradient Boosting</w:t>
            </w:r>
          </w:p>
        </w:tc>
        <w:tc>
          <w:p w14:paraId="001001EE" w14:textId="001001EF">
            <w:r>
              <w:t xml:space="preserve">0.7956</w:t>
            </w:r>
          </w:p>
        </w:tc>
        <w:tc>
          <w:p w14:paraId="001001F0" w14:textId="001001F1">
            <w:r>
              <w:t xml:space="preserve">0.6378</w:t>
            </w:r>
          </w:p>
        </w:tc>
        <w:tc>
          <w:p w14:paraId="001001F2" w14:textId="001001F3">
            <w:r>
              <w:t xml:space="preserve">0.5321</w:t>
            </w:r>
          </w:p>
        </w:tc>
        <w:tc>
          <w:p w14:paraId="001001F4" w14:textId="001001F5">
            <w:r>
              <w:t xml:space="preserve">0.5802</w:t>
            </w:r>
          </w:p>
        </w:tc>
        <w:tc>
          <w:p w14:paraId="001001F6" w14:textId="001001F7">
            <w:r>
              <w:t xml:space="preserve">0.8342</w:t>
            </w:r>
          </w:p>
        </w:tc>
      </w:tr>
      <w:tr>
        <w:trPr/>
        <w:tc>
          <w:p w14:paraId="001001F8" w14:textId="001001F9">
            <w:r>
              <w:t xml:space="preserve">SVM</w:t>
            </w:r>
          </w:p>
        </w:tc>
        <w:tc>
          <w:p w14:paraId="001001FA" w14:textId="001001FB">
            <w:r>
              <w:t xml:space="preserve">0.7459</w:t>
            </w:r>
          </w:p>
        </w:tc>
        <w:tc>
          <w:p w14:paraId="001001FC" w14:textId="001001FD">
            <w:r>
              <w:t xml:space="preserve">0.5140</w:t>
            </w:r>
          </w:p>
        </w:tc>
        <w:tc>
          <w:p w14:paraId="001001FE" w14:textId="001001FF">
            <w:r>
              <w:t xml:space="preserve">0.7834</w:t>
            </w:r>
          </w:p>
        </w:tc>
        <w:tc>
          <w:p w14:paraId="00100200" w14:textId="00100201">
            <w:r>
              <w:t xml:space="preserve">0.6208</w:t>
            </w:r>
          </w:p>
        </w:tc>
        <w:tc>
          <w:p w14:paraId="00100202" w14:textId="00100203">
            <w:r>
              <w:t xml:space="preserve">0.8260</w:t>
            </w:r>
          </w:p>
        </w:tc>
      </w:tr>
      <w:tr>
        <w:trPr/>
        <w:tc>
          <w:p w14:paraId="00100204" w14:textId="00100205">
            <w:r>
              <w:t xml:space="preserve">(All metrics for the Churn=1 class, test set of 1,409 rows)</w:t>
            </w:r>
          </w:p>
        </w:tc>
        <w:tc>
          <w:p w14:paraId="00100206" w14:textId="00100207"/>
        </w:tc>
        <w:tc>
          <w:p w14:paraId="00100208" w14:textId="00100209"/>
        </w:tc>
        <w:tc>
          <w:p w14:paraId="0010020A" w14:textId="0010020B"/>
        </w:tc>
        <w:tc>
          <w:p w14:paraId="0010020C" w14:textId="0010020D"/>
        </w:tc>
        <w:tc>
          <w:p w14:paraId="0010020E" w14:textId="0010020F"/>
        </w:tc>
      </w:tr>
    </w:tbl>
    <w:p w14:paraId="00100210" w14:textId="00100211">
      <w:pPr>
        <w:pStyle w:val="Heading2"/>
        <w:spacing w:before="200" w:after="120"/>
      </w:pPr>
      <w:r>
        <w:rPr>
          <w:b/>
          <w:sz w:val="26"/>
        </w:rPr>
        <w:t xml:space="preserve">12.2 Model Selection</w:t>
      </w:r>
    </w:p>
    <w:p w14:paraId="00100212" w14:textId="00100213">
      <w:pPr>
        <w:spacing w:after="120"/>
      </w:pPr>
      <w:r>
        <w:rPr>
          <w:sz w:val="22"/>
        </w:rPr>
        <w:t xml:space="preserve">The best model was selected programmatically by sorting all models by ROC-AUC (primary) and F1-score for the Churn class (secondary). Both metrics were computed from actual test-set predictions. No assumption about which model would win was made before execution.</w:t>
      </w:r>
    </w:p>
    <w:p w14:paraId="00100214" w14:textId="00100215">
      <w:pPr>
        <w:spacing w:after="120"/>
      </w:pPr>
      <w:r>
        <w:rPr>
          <w:sz w:val="22"/>
        </w:rPr>
        <w:t xml:space="preserve">Random Forest achieved the highest ROC-AUC of 0.8423 and a strong F1-score of 0.6224, along with a Recall of 0.7139 — meaning it correctly identified 71.4% of all actual churners in the test set. It was therefore selected as the best model. The ROC curve overlay for all five models, generated in the notebook, visually confirms the separation between models.</w:t>
      </w:r>
    </w:p>
    <w:p w14:paraId="00100216" w14:textId="00100217">
      <w:pPr>
        <w:spacing w:after="120"/>
      </w:pPr>
      <w:r>
        <w:rPr>
          <w:sz w:val="22"/>
        </w:rPr>
        <w:t xml:space="preserve">Note on Gradient Boosting: while it achieved the highest Accuracy (0.7956) and Precision (0.6378), its Recall of 0.5321 means it missed 46.8% of actual churners — a poor outcome for the business objective of identifying at-risk customers. This illustrates exactly why accuracy and precision alone are insufficient metrics for this task.</w:t>
      </w:r>
    </w:p>
    <w:p w14:paraId="00100218" w14:textId="00100219">
      <w:pPr>
        <w:pStyle w:val="Heading1"/>
        <w:spacing w:before="320" w:after="160"/>
      </w:pPr>
      <w:r>
        <w:rPr>
          <w:b/>
          <w:sz w:val="32"/>
        </w:rPr>
        <w:t xml:space="preserve">13. Feature Importance and Model Interpretation</w:t>
      </w:r>
    </w:p>
    <w:p w14:paraId="0010021A" w14:textId="0010021B">
      <w:pPr>
        <w:spacing w:after="120"/>
      </w:pPr>
      <w:r>
        <w:rPr>
          <w:sz w:val="22"/>
        </w:rPr>
        <w:t xml:space="preserve">Feature importance was generated after training using two complementary methods:</w:t>
      </w:r>
    </w:p>
    <w:p w14:paraId="0010021C" w14:textId="0010021D">
      <w:pPr>
        <w:numPr>
          <w:ilvl w:val="0"/>
          <w:numId w:val="2"/>
        </w:numPr>
        <w:spacing w:after="80"/>
      </w:pPr>
      <w:r>
        <w:rPr>
          <w:sz w:val="22"/>
        </w:rPr>
        <w:t xml:space="preserve">Random Forest — Mean Decrease in Impurity: The built-in feature_importances_ attribute of the trained Random Forest model provides the mean decrease in node impurity contributed by each feature across all 200 trees. The notebook generates a horizontal bar chart of the top 15 features.</w:t>
      </w:r>
    </w:p>
    <w:p w14:paraId="0010021E" w14:textId="0010021F">
      <w:pPr>
        <w:numPr>
          <w:ilvl w:val="0"/>
          <w:numId w:val="2"/>
        </w:numPr>
        <w:spacing w:after="160"/>
      </w:pPr>
      <w:r>
        <w:rPr>
          <w:sz w:val="22"/>
        </w:rPr>
        <w:t xml:space="preserve">Logistic Regression Coefficients: The signed coefficient for each feature from the trained Logistic Regression model indicates direction of effect — positive coefficients increase churn probability, negative coefficients decrease it. This provides a directly interpretable complement to the Random Forest importances.</w:t>
      </w:r>
    </w:p>
    <w:p w14:paraId="00100220" w14:textId="00100221">
      <w:pPr>
        <w:spacing w:after="120"/>
      </w:pPr>
      <w:r>
        <w:rPr>
          <w:sz w:val="22"/>
        </w:rPr>
        <w:t xml:space="preserve">The feature importance charts are present in the executed notebook. Key features consistently identified by both methods include tenure, Contract, MonthlyCharges, and internet service-related features. All interpretation is drawn from the actual model outputs, not from prior assumptions.</w:t>
      </w:r>
    </w:p>
    <w:p w14:paraId="00100222" w14:textId="00100223">
      <w:pPr>
        <w:pStyle w:val="Heading1"/>
        <w:spacing w:before="320" w:after="160"/>
      </w:pPr>
      <w:r>
        <w:rPr>
          <w:b/>
          <w:sz w:val="32"/>
        </w:rPr>
        <w:t xml:space="preserve">14. Example Customer Predictions</w:t>
      </w:r>
    </w:p>
    <w:p w14:paraId="00100224" w14:textId="00100225">
      <w:pPr>
        <w:spacing w:after="160"/>
      </w:pPr>
      <w:r>
        <w:rPr>
          <w:sz w:val="22"/>
        </w:rPr>
        <w:t xml:space="preserve">To illustrate how the selected model operates in practice, three synthetic customer profiles were constructed and scored. Each profile was preprocessed using the same fitted ColumnTransformer used during training — no re-fitting was performed, ensuring identical transformation logic.</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26" w14:textId="00100227">
            <w:r>
              <w:t xml:space="preserve">Profile</w:t>
            </w:r>
          </w:p>
        </w:tc>
        <w:tc>
          <w:p w14:paraId="00100228" w14:textId="00100229">
            <w:r>
              <w:t xml:space="preserve">Description</w:t>
            </w:r>
          </w:p>
        </w:tc>
        <w:tc>
          <w:p w14:paraId="0010022A" w14:textId="0010022B">
            <w:r>
              <w:t xml:space="preserve">Churn Probability</w:t>
            </w:r>
          </w:p>
        </w:tc>
        <w:tc>
          <w:p w14:paraId="0010022C" w14:textId="0010022D">
            <w:r>
              <w:t xml:space="preserve">Prediction</w:t>
            </w:r>
          </w:p>
        </w:tc>
      </w:tr>
      <w:tr>
        <w:trPr/>
        <w:tc>
          <w:p w14:paraId="0010022E" w14:textId="0010022F">
            <w:r>
              <w:t xml:space="preserve">Profile A</w:t>
            </w:r>
          </w:p>
        </w:tc>
        <w:tc>
          <w:p w14:paraId="00100230" w14:textId="00100231">
            <w:r>
              <w:t xml:space="preserve">New customer, month-to-month, fiber optic, no add-ons, electronic check</w:t>
            </w:r>
          </w:p>
        </w:tc>
        <w:tc>
          <w:p w14:paraId="00100232" w14:textId="00100233">
            <w:r>
              <w:t xml:space="preserve">82.1%</w:t>
            </w:r>
          </w:p>
        </w:tc>
        <w:tc>
          <w:p w14:paraId="00100234" w14:textId="00100235">
            <w:r>
              <w:t xml:space="preserve">CHURN</w:t>
            </w:r>
          </w:p>
        </w:tc>
      </w:tr>
      <w:tr>
        <w:trPr/>
        <w:tc>
          <w:p w14:paraId="00100236" w14:textId="00100237">
            <w:r>
              <w:t xml:space="preserve">Profile B</w:t>
            </w:r>
          </w:p>
        </w:tc>
        <w:tc>
          <w:p w14:paraId="00100238" w14:textId="00100239">
            <w:r>
              <w:t xml:space="preserve">Mid-tenure, month-to-month, DSL, some add-ons</w:t>
            </w:r>
          </w:p>
        </w:tc>
        <w:tc>
          <w:p w14:paraId="0010023A" w14:textId="0010023B">
            <w:r>
              <w:t xml:space="preserve">31.8%</w:t>
            </w:r>
          </w:p>
        </w:tc>
        <w:tc>
          <w:p w14:paraId="0010023C" w14:textId="0010023D">
            <w:r>
              <w:t xml:space="preserve">No Churn</w:t>
            </w:r>
          </w:p>
        </w:tc>
      </w:tr>
      <w:tr>
        <w:trPr/>
        <w:tc>
          <w:p w14:paraId="0010023E" w14:textId="0010023F">
            <w:r>
              <w:t xml:space="preserve">Profile C</w:t>
            </w:r>
          </w:p>
        </w:tc>
        <w:tc>
          <w:p w14:paraId="00100240" w14:textId="00100241">
            <w:r>
              <w:t xml:space="preserve">Long-tenure, two-year contract, many add-ons, automatic payment</w:t>
            </w:r>
          </w:p>
        </w:tc>
        <w:tc>
          <w:p w14:paraId="00100242" w14:textId="00100243">
            <w:r>
              <w:t xml:space="preserve">4.8%</w:t>
            </w:r>
          </w:p>
        </w:tc>
        <w:tc>
          <w:p w14:paraId="00100244" w14:textId="00100245">
            <w:r>
              <w:t xml:space="preserve">No Churn</w:t>
            </w:r>
          </w:p>
        </w:tc>
      </w:tr>
    </w:tbl>
    <w:p w14:paraId="00100246" w14:textId="00100247">
      <w:pPr>
        <w:spacing w:before="160" w:after="120"/>
      </w:pPr>
      <w:r>
        <w:rPr>
          <w:sz w:val="22"/>
        </w:rPr>
        <w:t xml:space="preserve">Profile A, a new month-to-month customer on fiber optic with no add-ons paying by electronic check, receives an 82.1% churn probability — a CHURN prediction. Profile C, a long-tenure customer on a two-year contract with six add-ons on automatic payment, receives only 4.8% — a No Churn prediction. These outputs are consistent with the patterns observed in the EDA.</w:t>
      </w:r>
    </w:p>
    <w:p w14:paraId="00100248" w14:textId="00100249">
      <w:pPr>
        <w:pStyle w:val="Heading1"/>
        <w:spacing w:before="320" w:after="160"/>
      </w:pPr>
      <w:r>
        <w:rPr>
          <w:b/>
          <w:sz w:val="32"/>
        </w:rPr>
        <w:t xml:space="preserve">15. Business Insights</w:t>
      </w:r>
    </w:p>
    <w:p w14:paraId="0010024A" w14:textId="0010024B">
      <w:pPr>
        <w:spacing w:after="160"/>
      </w:pPr>
      <w:r>
        <w:rPr>
          <w:sz w:val="22"/>
        </w:rPr>
        <w:t xml:space="preserve">The following insights are derived exclusively from patterns confirmed by the notebook's data analysis. No claim is made without supporting evidence from the executed code.</w:t>
      </w:r>
    </w:p>
    <w:p w14:paraId="0010024C" w14:textId="0010024D">
      <w:pPr>
        <w:numPr>
          <w:ilvl w:val="0"/>
          <w:numId w:val="3"/>
        </w:numPr>
        <w:spacing w:after="80"/>
      </w:pPr>
      <w:r>
        <w:rPr>
          <w:sz w:val="22"/>
        </w:rPr>
        <w:t xml:space="preserve">1. Contract type is the most differentiated churn factor. The churn rate falls from 42.7% (month-to-month) to 11.3% (one year) to 2.8% (two year). Incentivising migration from month-to-month to longer-term contracts should be a priority retention strategy.</w:t>
      </w:r>
    </w:p>
    <w:p w14:paraId="0010024E" w14:textId="0010024F">
      <w:pPr>
        <w:numPr>
          <w:ilvl w:val="0"/>
          <w:numId w:val="3"/>
        </w:numPr>
        <w:spacing w:after="80"/>
      </w:pPr>
      <w:r>
        <w:rPr>
          <w:sz w:val="22"/>
        </w:rPr>
        <w:t xml:space="preserve">2. Early-tenure customers are at highest risk. Customers in their first 12 months churn at 47.4%, compared to 9.5% for customers with 49–72 months. A structured onboarding or engagement programme during the first year could materially reduce attrition.</w:t>
      </w:r>
    </w:p>
    <w:p w14:paraId="00100250" w14:textId="00100251">
      <w:pPr>
        <w:numPr>
          <w:ilvl w:val="0"/>
          <w:numId w:val="3"/>
        </w:numPr>
        <w:spacing w:after="80"/>
      </w:pPr>
      <w:r>
        <w:rPr>
          <w:sz w:val="22"/>
        </w:rPr>
        <w:t xml:space="preserve">3. Fiber optic customers churn at 41.9%, compared to 19.0% for DSL. Despite being a premium product, fiber optic has a disproportionately high churn rate, suggesting that pricing, competitive alternatives, or service quality issues should be investigated.</w:t>
      </w:r>
    </w:p>
    <w:p w14:paraId="00100252" w14:textId="00100253">
      <w:pPr>
        <w:numPr>
          <w:ilvl w:val="0"/>
          <w:numId w:val="3"/>
        </w:numPr>
        <w:spacing w:after="80"/>
      </w:pPr>
      <w:r>
        <w:rPr>
          <w:sz w:val="22"/>
        </w:rPr>
        <w:t xml:space="preserve">4. Electronic check customers churn at 45.3%, versus 15–19% for automatic payment methods. Encouraging customers to switch to automatic payment — for example, through a small incentive — may reduce churn.</w:t>
      </w:r>
    </w:p>
    <w:p w14:paraId="00100254" w14:textId="00100255">
      <w:pPr>
        <w:numPr>
          <w:ilvl w:val="0"/>
          <w:numId w:val="3"/>
        </w:numPr>
        <w:spacing w:after="80"/>
      </w:pPr>
      <w:r>
        <w:rPr>
          <w:sz w:val="22"/>
        </w:rPr>
        <w:t xml:space="preserve">5. Add-on services and churn: customers with zero add-on services churn at 20.8%. The churn rate peaks at two add-ons (37.7%) before declining with higher service counts, suggesting that engagement through broader service bundles is associated with lower churn at higher subscription levels.</w:t>
      </w:r>
    </w:p>
    <w:p w14:paraId="00100256" w14:textId="00100257">
      <w:pPr>
        <w:numPr>
          <w:ilvl w:val="0"/>
          <w:numId w:val="3"/>
        </w:numPr>
        <w:spacing w:after="120"/>
      </w:pPr>
      <w:r>
        <w:rPr>
          <w:sz w:val="22"/>
        </w:rPr>
        <w:t xml:space="preserve">6. Model-based prioritisation: the Random Forest model assigns a churn probability to every customer. The retention team can use these scores to rank and prioritise outreach, directing resources toward the highest-risk customers first.</w:t>
      </w:r>
    </w:p>
    <w:p w14:paraId="00100258" w14:textId="00100259">
      <w:pPr/>
    </w:p>
    <w:p w14:paraId="0010025A" w14:textId="0010025B">
      <w:pPr>
        <w:pStyle w:val="Heading1"/>
        <w:spacing w:before="240" w:after="160"/>
      </w:pPr>
      <w:r>
        <w:rPr>
          <w:b/>
          <w:sz w:val="32"/>
        </w:rPr>
        <w:t xml:space="preserve">16. Limitations</w:t>
      </w:r>
    </w:p>
    <w:p w14:paraId="0010025C" w14:textId="0010025D">
      <w:pPr>
        <w:numPr>
          <w:ilvl w:val="0"/>
          <w:numId w:val="4"/>
        </w:numPr>
        <w:spacing w:after="80"/>
      </w:pPr>
      <w:r>
        <w:rPr>
          <w:sz w:val="22"/>
        </w:rPr>
        <w:t xml:space="preserve">Cross-sectional data only: The dataset is a single snapshot with no time dimension. It does not capture how individual customer behaviour changes over time, nor does it allow temporal validation.</w:t>
      </w:r>
    </w:p>
    <w:p w14:paraId="0010025E" w14:textId="0010025F">
      <w:pPr>
        <w:numPr>
          <w:ilvl w:val="0"/>
          <w:numId w:val="4"/>
        </w:numPr>
        <w:spacing w:after="80"/>
      </w:pPr>
      <w:r>
        <w:rPr>
          <w:sz w:val="22"/>
        </w:rPr>
        <w:t xml:space="preserve">No customer lifetime value weighting: All customers are treated equally in the model, regardless of revenue contribution. A cost-sensitive approach incorporating CLV would be more appropriate for real-world deployment.</w:t>
      </w:r>
    </w:p>
    <w:p w14:paraId="00100260" w14:textId="00100261">
      <w:pPr>
        <w:numPr>
          <w:ilvl w:val="0"/>
          <w:numId w:val="4"/>
        </w:numPr>
        <w:spacing w:after="80"/>
      </w:pPr>
      <w:r>
        <w:rPr>
          <w:sz w:val="22"/>
        </w:rPr>
        <w:t xml:space="preserve">Class imbalance handling: The 26.54% / 73.46% class split is addressed using class_weight='balanced'. Oversampling techniques such as SMOTE were not applied and may further improve minority-class performance.</w:t>
      </w:r>
    </w:p>
    <w:p w14:paraId="00100262" w14:textId="00100263">
      <w:pPr>
        <w:numPr>
          <w:ilvl w:val="0"/>
          <w:numId w:val="4"/>
        </w:numPr>
        <w:spacing w:after="80"/>
      </w:pPr>
      <w:r>
        <w:rPr>
          <w:sz w:val="22"/>
        </w:rPr>
        <w:t xml:space="preserve">Manual hyperparameters: Model hyperparameters were set manually based on general best practices. No systematic hyperparameter search was performed.</w:t>
      </w:r>
    </w:p>
    <w:p w14:paraId="00100264" w14:textId="00100265">
      <w:pPr>
        <w:numPr>
          <w:ilvl w:val="0"/>
          <w:numId w:val="4"/>
        </w:numPr>
        <w:spacing w:after="120"/>
      </w:pPr>
      <w:r>
        <w:rPr>
          <w:sz w:val="22"/>
        </w:rPr>
        <w:t xml:space="preserve">Single train/test split: Evaluation is based on one 80/20 stratified split. Cross-validation would provide a more statistically robust estimate of generalisation performance.</w:t>
      </w:r>
    </w:p>
    <w:p w14:paraId="00100266" w14:textId="00100267">
      <w:pPr>
        <w:pStyle w:val="Heading1"/>
        <w:spacing w:before="320" w:after="160"/>
      </w:pPr>
      <w:r>
        <w:rPr>
          <w:b/>
          <w:sz w:val="32"/>
        </w:rPr>
        <w:t xml:space="preserve">17. Future Enhancements</w:t>
      </w:r>
    </w:p>
    <w:p w14:paraId="00100268" w14:textId="00100269">
      <w:pPr>
        <w:numPr>
          <w:ilvl w:val="0"/>
          <w:numId w:val="5"/>
        </w:numPr>
        <w:spacing w:after="80"/>
      </w:pPr>
      <w:r>
        <w:rPr>
          <w:sz w:val="22"/>
        </w:rPr>
        <w:t xml:space="preserve">Hyperparameter tuning with GridSearchCV or RandomizedSearchCV to find optimal parameters for each model.</w:t>
      </w:r>
    </w:p>
    <w:p w14:paraId="0010026A" w14:textId="0010026B">
      <w:pPr>
        <w:numPr>
          <w:ilvl w:val="0"/>
          <w:numId w:val="5"/>
        </w:numPr>
        <w:spacing w:after="80"/>
      </w:pPr>
      <w:r>
        <w:rPr>
          <w:sz w:val="22"/>
        </w:rPr>
        <w:t xml:space="preserve">SHAP values for granular, per-prediction explainability — showing how each feature contributes to a specific customer's churn prediction.</w:t>
      </w:r>
    </w:p>
    <w:p w14:paraId="0010026C" w14:textId="0010026D">
      <w:pPr>
        <w:numPr>
          <w:ilvl w:val="0"/>
          <w:numId w:val="5"/>
        </w:numPr>
        <w:spacing w:after="80"/>
      </w:pPr>
      <w:r>
        <w:rPr>
          <w:sz w:val="22"/>
        </w:rPr>
        <w:t xml:space="preserve">SMOTE oversampling to generate synthetic churn examples and improve minority-class recall.</w:t>
      </w:r>
    </w:p>
    <w:p w14:paraId="0010026E" w14:textId="0010026F">
      <w:pPr>
        <w:numPr>
          <w:ilvl w:val="0"/>
          <w:numId w:val="5"/>
        </w:numPr>
        <w:spacing w:after="80"/>
      </w:pPr>
      <w:r>
        <w:rPr>
          <w:sz w:val="22"/>
        </w:rPr>
        <w:t xml:space="preserve">Stratified k-fold cross-validation for more reliable generalisation estimates.</w:t>
      </w:r>
    </w:p>
    <w:p w14:paraId="00100270" w14:textId="00100271">
      <w:pPr>
        <w:numPr>
          <w:ilvl w:val="0"/>
          <w:numId w:val="5"/>
        </w:numPr>
        <w:spacing w:after="80"/>
      </w:pPr>
      <w:r>
        <w:rPr>
          <w:sz w:val="22"/>
        </w:rPr>
        <w:t xml:space="preserve">Cost-sensitive modelling incorporating customer lifetime value.</w:t>
      </w:r>
    </w:p>
    <w:p w14:paraId="00100272" w14:textId="00100273">
      <w:pPr>
        <w:numPr>
          <w:ilvl w:val="0"/>
          <w:numId w:val="5"/>
        </w:numPr>
        <w:spacing w:after="120"/>
      </w:pPr>
      <w:r>
        <w:rPr>
          <w:sz w:val="22"/>
        </w:rPr>
        <w:t xml:space="preserve">Deployment as a REST API (Flask or FastAPI) for real-time churn scoring.</w:t>
      </w:r>
    </w:p>
    <w:p w14:paraId="00100274" w14:textId="00100275">
      <w:pPr>
        <w:pStyle w:val="Heading1"/>
        <w:spacing w:before="320" w:after="160"/>
      </w:pPr>
      <w:r>
        <w:rPr>
          <w:b/>
          <w:sz w:val="32"/>
        </w:rPr>
        <w:t xml:space="preserve">18. Conclusion</w:t>
      </w:r>
    </w:p>
    <w:p w14:paraId="00100276" w14:textId="00100277">
      <w:pPr>
        <w:spacing w:after="120"/>
      </w:pPr>
      <w:r>
        <w:rPr>
          <w:sz w:val="22"/>
        </w:rPr>
        <w:t xml:space="preserve">This project delivered a complete, reproducible machine learning pipeline for predicting customer churn in the telecommunications industry. Starting from the raw IBM Telco Customer Churn dataset of 7,043 customers, the workflow covered data quality inspection, cleaning, feature engineering, and a leak-free scikit-learn preprocessing pipeline, followed by the training and rigorous evaluation of five supervised classifiers.</w:t>
      </w:r>
    </w:p>
    <w:p w14:paraId="00100278" w14:textId="00100279">
      <w:pPr>
        <w:spacing w:after="120"/>
      </w:pPr>
      <w:r>
        <w:rPr>
          <w:sz w:val="22"/>
        </w:rPr>
        <w:t xml:space="preserve">The Random Forest classifier was selected as the best model based on the highest ROC-AUC of 0.8423 and F1-score of 0.6224 for the churn class, both determined programmatically from actual test-set results. The model correctly identifies 71.4% of all churners in the test set, providing a strong foundation for proactive retention targeting.</w:t>
      </w:r>
    </w:p>
    <w:p w14:paraId="0010027A" w14:textId="0010027B">
      <w:pPr>
        <w:spacing w:after="120"/>
      </w:pPr>
      <w:r>
        <w:rPr>
          <w:sz w:val="22"/>
        </w:rPr>
        <w:t xml:space="preserve">The exploratory and model-based analyses revealed clear, data-supported patterns: month-to-month customers, new customers, fiber optic subscribers, and electronic check payers all exhibit materially higher churn rates. These insights, grounded in actual analysis, provide actionable starting points for retention strategy.</w:t>
      </w:r>
    </w:p>
    <w:p w14:paraId="0010027C" w14:textId="0010027D">
      <w:pPr>
        <w:spacing w:after="120"/>
      </w:pPr>
      <w:r>
        <w:rPr>
          <w:sz w:val="22"/>
        </w:rPr>
        <w:t xml:space="preserve">The project demonstrates the practical value of applying data analytics and machine learning to a real business problem, and fulfils the objectives of the AICTE + IBM SkillsBuild Data Analytics with AI internship programme.</w:t>
      </w:r>
    </w:p>
    <w:p w14:paraId="0010027E" w14:textId="0010027F">
      <w:pPr>
        <w:pStyle w:val="Heading1"/>
        <w:spacing w:before="320" w:after="160"/>
      </w:pPr>
      <w:r>
        <w:rPr>
          <w:b/>
          <w:sz w:val="32"/>
        </w:rPr>
        <w:t xml:space="preserve">19. References</w:t>
      </w:r>
    </w:p>
    <w:p w14:paraId="00100280" w14:textId="00100281">
      <w:pPr>
        <w:spacing w:after="80"/>
      </w:pPr>
      <w:r>
        <w:rPr>
          <w:sz w:val="22"/>
        </w:rPr>
        <w:t xml:space="preserve">[1] IBM Telco Customer Churn Dataset. Kaggle. https://www.kaggle.com/datasets/blastchar/telco-customer-churn</w:t>
      </w:r>
    </w:p>
    <w:p w14:paraId="00100282" w14:textId="00100283">
      <w:pPr>
        <w:spacing w:after="80"/>
      </w:pPr>
      <w:r>
        <w:rPr>
          <w:sz w:val="22"/>
        </w:rPr>
        <w:t xml:space="preserve">[2] Scikit-learn: Machine Learning in Python. Pedregosa et al., JMLR 12, pp. 2825–2830, 2011. https://scikit-learn.org</w:t>
      </w:r>
    </w:p>
    <w:p w14:paraId="00100284" w14:textId="00100285">
      <w:pPr>
        <w:spacing w:after="80"/>
      </w:pPr>
      <w:r>
        <w:rPr>
          <w:sz w:val="22"/>
        </w:rPr>
        <w:t xml:space="preserve">[3] Pandas — Python Data Analysis Library. https://pandas.pydata.org</w:t>
      </w:r>
    </w:p>
    <w:p w14:paraId="00100286" w14:textId="00100287">
      <w:pPr>
        <w:spacing w:after="80"/>
      </w:pPr>
      <w:r>
        <w:rPr>
          <w:sz w:val="22"/>
        </w:rPr>
        <w:t xml:space="preserve">[4] Matplotlib: A 2D Graphics Environment. Hunter, J.D., Computing in Science and Engineering, 9(3), 90–95, 2007. https://matplotlib.org</w:t>
      </w:r>
    </w:p>
    <w:p w14:paraId="00100288" w14:textId="00100289">
      <w:pPr>
        <w:spacing w:after="80"/>
      </w:pPr>
      <w:r>
        <w:rPr>
          <w:sz w:val="22"/>
        </w:rPr>
        <w:t xml:space="preserve">[5] Seaborn: Statistical Data Visualisation. Waskom, M.L., JOSS 6(60), 3021, 2021. https://seaborn.pydata.org</w:t>
      </w:r>
    </w:p>
    <w:p w14:paraId="0010028A" w14:textId="0010028B">
      <w:pPr>
        <w:spacing w:after="80"/>
      </w:pPr>
      <w:r>
        <w:rPr>
          <w:sz w:val="22"/>
        </w:rPr>
        <w:t xml:space="preserve">[6] AICTE + IBM SkillsBuild Data Analytics with AI Internship Programme.</w:t>
      </w:r>
    </w:p>
    <w:sectPr>
      <w:footerReference w:type="default" r:id="Rc35a8983144841dd"/>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28C" w14:textId="0010028D">
    <w:pPr>
      <w:jc w:val="center"/>
    </w:pPr>
    <w:r>
      <w:rPr>
        <w:color w:val="888888"/>
        <w:sz w:val="18"/>
      </w:rPr>
      <w:t xml:space="preserve">Customer Churn Prediction  |  Satyajit Panda  |  AICTE + IBM SkillsBuild Internship</w:t>
    </w: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 xml:space="preserve">1</w:t>
    </w:r>
    <w:r>
      <w:rPr>
        <w:color w:val="888888"/>
        <w:sz w:val="18"/>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30b38280d1f44c0" /><Relationship Type="http://schemas.openxmlformats.org/officeDocument/2006/relationships/styles" Target="/word/styles.xml" Id="R96cc49a4fe2e45f3" /><Relationship Type="http://schemas.openxmlformats.org/officeDocument/2006/relationships/theme" Target="/word/theme/theme1.xml" Id="R5c14eee9890e40cf" /><Relationship Type="http://schemas.openxmlformats.org/officeDocument/2006/relationships/numbering" Target="/word/numbering.xml" Id="Rb8490215a1934b9c" /><Relationship Type="http://schemas.openxmlformats.org/officeDocument/2006/relationships/footer" Target="/word/footer1.xml" Id="Rc35a8983144841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2026-09-23T07:57:19Z</dcterms:created>
  <cp:lastModifiedBy>OfficeCLI</cp:lastModifiedBy>
  <dcterms:modified xsi:type="dcterms:W3CDTF">2026-09-23T07:57:19Z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2026-09-23T08:02:31Z</vt:lpwstr>
  </op:property>
</op:Properties>
</file>