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E3A5F"/>
          <w:sz w:val="72"/>
        </w:rPr>
        <w:t>SRE-Shield</w:t>
      </w:r>
    </w:p>
    <w:p>
      <w:pPr>
        <w:jc w:val="center"/>
      </w:pPr>
      <w:r>
        <w:rPr>
          <w:b w:val="0"/>
          <w:color w:val="2563EB"/>
          <w:sz w:val="36"/>
        </w:rPr>
        <w:t>AI-Powered Self-Learning Incident Response Agent</w:t>
      </w:r>
    </w:p>
    <w:p/>
    <w:p>
      <w:pPr>
        <w:jc w:val="center"/>
      </w:pPr>
      <w:r>
        <w:rPr>
          <w:i/>
          <w:color w:val="475569"/>
          <w:sz w:val="24"/>
        </w:rPr>
        <w:t>"The system learns from every incident and uses previous</w:t>
        <w:br/>
        <w:t>experience to solve future incidents faster."</w:t>
      </w:r>
    </w:p>
    <w:p/>
    <w:p/>
    <w:p>
      <w:pPr>
        <w:jc w:val="center"/>
      </w:pPr>
      <w:r>
        <w:rPr>
          <w:color w:val="6B7280"/>
          <w:sz w:val="20"/>
        </w:rPr>
        <w:t>Hackathon Project  |  Category: AI / DevOps / SRE</w:t>
        <w:br/>
        <w:t>Stack: Python 3.10  •  FastAPI  •  Streamlit  •  Groq LLM  •  Hindsight Agent Memory  •  SQLite</w:t>
        <w:br/>
        <w:t>September 2026</w:t>
      </w:r>
    </w:p>
    <w:p>
      <w:r>
        <w:br w:type="page"/>
      </w:r>
    </w:p>
    <w:p>
      <w:pPr>
        <w:pStyle w:val="Heading1"/>
        <w:spacing w:before="280" w:after="120"/>
      </w:pPr>
      <w:r>
        <w:rPr>
          <w:b/>
          <w:color w:val="1E3A5F"/>
        </w:rPr>
        <w:t>1.  Problem Statement</w:t>
      </w:r>
    </w:p>
    <w:p>
      <w:pPr>
        <w:spacing w:after="120"/>
      </w:pPr>
      <w:r>
        <w:rPr>
          <w:b w:val="0"/>
          <w:i w:val="0"/>
          <w:color w:val="1F2937"/>
          <w:sz w:val="21"/>
        </w:rPr>
        <w:t>Modern software organisations run hundreds of microservices in production. When an outage occurs — a database crashes, a Kubernetes pod is OOMKilled, an API starts returning HTTP 500 errors — the on-call Site Reliability Engineer (SRE) is paged and must identify, diagnose, and resolve the problem before revenue is lost and customers churn.</w:t>
      </w:r>
    </w:p>
    <w:p>
      <w:pPr>
        <w:pStyle w:val="Heading2"/>
        <w:spacing w:before="280" w:after="120"/>
      </w:pPr>
      <w:r>
        <w:rPr>
          <w:b/>
          <w:color w:val="2563EB"/>
        </w:rPr>
        <w:t>1.1  The Core Challenge</w:t>
      </w:r>
    </w:p>
    <w:p>
      <w:pPr>
        <w:spacing w:after="120"/>
      </w:pPr>
      <w:r>
        <w:rPr>
          <w:b w:val="0"/>
          <w:i w:val="0"/>
          <w:color w:val="1F2937"/>
          <w:sz w:val="21"/>
        </w:rPr>
        <w:t>The real cost of a production incident is not just the downtime — it is the repeated cost of rediscovering the same root causes again and again. Post-mortems are written, shelved, and forgotten. The next on-call engineer pages in at 2 AM with no memory of the fix that resolved an identical incident three weeks ago.</w:t>
      </w:r>
    </w:p>
    <w:p>
      <w:pPr>
        <w:pStyle w:val="Heading2"/>
        <w:spacing w:before="280" w:after="120"/>
      </w:pPr>
      <w:r>
        <w:rPr>
          <w:b/>
          <w:color w:val="2563EB"/>
        </w:rPr>
        <w:t>1.2  Specific Pain Points</w:t>
      </w:r>
    </w:p>
    <w:p>
      <w:pPr>
        <w:pStyle w:val="ListBullet"/>
        <w:spacing w:after="60"/>
      </w:pPr>
      <w:r>
        <w:rPr>
          <w:b/>
          <w:color w:val="1F2937"/>
          <w:sz w:val="21"/>
        </w:rPr>
        <w:t xml:space="preserve">Tribal Knowledge Vanishes: </w:t>
      </w:r>
      <w:r>
        <w:rPr>
          <w:color w:val="374151"/>
          <w:sz w:val="21"/>
        </w:rPr>
        <w:t>40–70% of Mean Time to Recovery (MTTR) is spent rediscovering root causes that were already diagnosed and solved by a different engineer in a previous shift.</w:t>
      </w:r>
    </w:p>
    <w:p>
      <w:pPr>
        <w:pStyle w:val="ListBullet"/>
        <w:spacing w:after="60"/>
      </w:pPr>
      <w:r>
        <w:rPr>
          <w:b/>
          <w:color w:val="1F2937"/>
          <w:sz w:val="21"/>
        </w:rPr>
        <w:t xml:space="preserve">Stateless AI Chatbots Fail in SRE Context: </w:t>
      </w:r>
      <w:r>
        <w:rPr>
          <w:color w:val="374151"/>
          <w:sz w:val="21"/>
        </w:rPr>
        <w:t>General-purpose LLMs (ChatGPT, Copilot) provide generic textbook advice — "Check your logs", "Restart the service", "Check the gateway" — with no memory of the specific cluster topology, connection pool limits, or what command actually resolved the same failure last Tuesday.</w:t>
      </w:r>
    </w:p>
    <w:p>
      <w:pPr>
        <w:pStyle w:val="ListBullet"/>
        <w:spacing w:after="60"/>
      </w:pPr>
      <w:r>
        <w:rPr>
          <w:b/>
          <w:color w:val="1F2937"/>
          <w:sz w:val="21"/>
        </w:rPr>
        <w:t xml:space="preserve">Secrets Leaking into Vector Databases: </w:t>
      </w:r>
      <w:r>
        <w:rPr>
          <w:color w:val="374151"/>
          <w:sz w:val="21"/>
        </w:rPr>
        <w:t>Engineers paste raw stack traces containing database passwords, API tokens, and JWTs directly into LLM prompts and vector databases, creating catastrophic security exposure.</w:t>
      </w:r>
    </w:p>
    <w:p>
      <w:pPr>
        <w:pStyle w:val="ListBullet"/>
        <w:spacing w:after="60"/>
      </w:pPr>
      <w:r>
        <w:rPr>
          <w:b/>
          <w:color w:val="1F2937"/>
          <w:sz w:val="21"/>
        </w:rPr>
        <w:t xml:space="preserve">Destructive Command Automation Risk: </w:t>
      </w:r>
      <w:r>
        <w:rPr>
          <w:color w:val="374151"/>
          <w:sz w:val="21"/>
        </w:rPr>
        <w:t>Autonomous AI agents that blindly run recommended shell commands risk corrupting production databases, terminating live namespaces, or triggering cascading failures.</w:t>
      </w:r>
    </w:p>
    <w:p>
      <w:pPr>
        <w:pStyle w:val="ListBullet"/>
        <w:spacing w:after="60"/>
      </w:pPr>
      <w:r>
        <w:rPr>
          <w:b/>
          <w:color w:val="1F2937"/>
          <w:sz w:val="21"/>
        </w:rPr>
        <w:t xml:space="preserve">No Continuous Learning: </w:t>
      </w:r>
      <w:r>
        <w:rPr>
          <w:color w:val="374151"/>
          <w:sz w:val="21"/>
        </w:rPr>
        <w:t>Traditional on-call workflows do not feed resolution outcomes back into a persistent memory bank. Every incident starts from zero — the same triage, the same Google searches, the same escalations.</w:t>
      </w:r>
    </w:p>
    <w:p/>
    <w:tbl>
      <w:tblPr>
        <w:tblW w:type="auto" w:w="0"/>
        <w:jc w:val="left"/>
        <w:tblLook w:firstColumn="1" w:firstRow="1" w:lastColumn="0" w:lastRow="0" w:noHBand="0" w:noVBand="1" w:val="04A0"/>
      </w:tblPr>
      <w:tblGrid>
        <w:gridCol w:w="9406"/>
      </w:tblGrid>
      <w:tr>
        <w:tc>
          <w:tcPr>
            <w:tcW w:type="dxa" w:w="9406"/>
            <w:shd w:val="clear" w:color="auto" w:fill="EFF6FF"/>
            <w:tcBorders>
              <w:top w:val="single" w:sz="6" w:space="0" w:color="2563EB"/>
              <w:left w:val="single" w:sz="6" w:space="0" w:color="2563EB"/>
              <w:bottom w:val="single" w:sz="6" w:space="0" w:color="2563EB"/>
              <w:right w:val="single" w:sz="6" w:space="0" w:color="2563EB"/>
            </w:tcBorders>
          </w:tcPr>
          <w:p/>
          <w:p/>
          <w:p>
            <w:pPr>
              <w:spacing w:after="80"/>
            </w:pPr>
            <w:r>
              <w:rPr>
                <w:b/>
                <w:color w:val="1E40AF"/>
                <w:sz w:val="20"/>
              </w:rPr>
              <w:t>The Core Question</w:t>
            </w:r>
          </w:p>
          <w:p>
            <w:pPr>
              <w:spacing w:after="40"/>
            </w:pPr>
            <w:r>
              <w:rPr>
                <w:color w:val="1F2937"/>
                <w:sz w:val="19"/>
              </w:rPr>
              <w:t>How can an AI-powered system behave like a Principal SRE who has personally</w:t>
            </w:r>
          </w:p>
          <w:p>
            <w:pPr>
              <w:spacing w:after="40"/>
            </w:pPr>
            <w:r>
              <w:rPr>
                <w:color w:val="1F2937"/>
                <w:sz w:val="19"/>
              </w:rPr>
              <w:t>resolved every production incident the organisation has ever experienced,</w:t>
            </w:r>
          </w:p>
          <w:p>
            <w:pPr>
              <w:spacing w:after="40"/>
            </w:pPr>
            <w:r>
              <w:rPr>
                <w:color w:val="1F2937"/>
                <w:sz w:val="19"/>
              </w:rPr>
              <w:t>recalls the exact fix that worked, and safely guides the on-call engineer to resolution</w:t>
            </w:r>
          </w:p>
          <w:p>
            <w:pPr>
              <w:spacing w:after="40"/>
            </w:pPr>
            <w:r>
              <w:rPr>
                <w:color w:val="1F2937"/>
                <w:sz w:val="19"/>
              </w:rPr>
              <w:t>in minutes rather than hours — without ever blindly executing destructive commands?</w:t>
            </w:r>
          </w:p>
          <w:p/>
        </w:tc>
      </w:tr>
    </w:tbl>
    <w:p/>
    <w:p>
      <w:r>
        <w:br w:type="page"/>
      </w:r>
    </w:p>
    <w:p>
      <w:pPr>
        <w:pStyle w:val="Heading1"/>
        <w:spacing w:before="280" w:after="120"/>
      </w:pPr>
      <w:r>
        <w:rPr>
          <w:b/>
          <w:color w:val="1E3A5F"/>
        </w:rPr>
        <w:t>2.  The Built Solution: SRE-Shield</w:t>
      </w:r>
    </w:p>
    <w:p>
      <w:pPr>
        <w:spacing w:after="120"/>
      </w:pPr>
      <w:r>
        <w:rPr>
          <w:b w:val="0"/>
          <w:i w:val="0"/>
          <w:color w:val="1F2937"/>
          <w:sz w:val="21"/>
        </w:rPr>
        <w:t>SRE-Shield is a closed-loop, self-learning incident response platform that combines Groq LLM inference, Hindsight Agent Memory (a structured 4-network memory architecture), a Memory Defense sanitization layer, and a Human-in-the-Loop safety gate into a single cohesive production-grade SRE tool.</w:t>
      </w:r>
    </w:p>
    <w:p>
      <w:pPr>
        <w:spacing w:after="120"/>
      </w:pPr>
      <w:r>
        <w:rPr>
          <w:b w:val="0"/>
          <w:i/>
          <w:color w:val="1F2937"/>
          <w:sz w:val="21"/>
        </w:rPr>
        <w:t>The fundamental innovation is the separation between a stateless AI (which simply answers from training data) and a memory-augmented SRE agent (which reasons over verified past resolutions, calibrated beliefs, and service-specific entity profiles). SRE-Shield demonstrates this contrast side-by-side on every incident.</w:t>
      </w:r>
    </w:p>
    <w:p>
      <w:pPr>
        <w:pStyle w:val="Heading2"/>
        <w:spacing w:before="280" w:after="120"/>
      </w:pPr>
      <w:r>
        <w:rPr>
          <w:b/>
          <w:color w:val="2563EB"/>
        </w:rPr>
        <w:t>2.1  Key Features at a Glance</w:t>
      </w:r>
    </w:p>
    <w:p>
      <w:pPr>
        <w:pStyle w:val="ListBullet"/>
        <w:spacing w:after="60"/>
      </w:pPr>
      <w:r>
        <w:rPr>
          <w:b/>
          <w:color w:val="1F2937"/>
          <w:sz w:val="21"/>
        </w:rPr>
        <w:t xml:space="preserve">Hindsight 4-Network Agent Memory: </w:t>
      </w:r>
      <w:r>
        <w:rPr>
          <w:color w:val="374151"/>
          <w:sz w:val="21"/>
        </w:rPr>
        <w:t>Persistent structured incident knowledge split into World Facts, Experience Trajectories, Entity Summaries, and Evolving Beliefs — far richer than flat vector embeddings.</w:t>
      </w:r>
    </w:p>
    <w:p>
      <w:pPr>
        <w:pStyle w:val="ListBullet"/>
        <w:spacing w:after="60"/>
      </w:pPr>
      <w:r>
        <w:rPr>
          <w:b/>
          <w:color w:val="1F2937"/>
          <w:sz w:val="21"/>
        </w:rPr>
        <w:t xml:space="preserve">Memory Defense Sanitization: </w:t>
      </w:r>
      <w:r>
        <w:rPr>
          <w:color w:val="374151"/>
          <w:sz w:val="21"/>
        </w:rPr>
        <w:t>Automatic detection and masking of passwords, JWTs, Bearer tokens, AWS keys, and PII before any data is stored in persistent memory.</w:t>
      </w:r>
    </w:p>
    <w:p>
      <w:pPr>
        <w:pStyle w:val="ListBullet"/>
        <w:spacing w:after="60"/>
      </w:pPr>
      <w:r>
        <w:rPr>
          <w:b/>
          <w:color w:val="1F2937"/>
          <w:sz w:val="21"/>
        </w:rPr>
        <w:t xml:space="preserve">Dual Diagnosis Engine: </w:t>
      </w:r>
      <w:r>
        <w:rPr>
          <w:color w:val="374151"/>
          <w:sz w:val="21"/>
        </w:rPr>
        <w:t>Every incident produces two independent analyses: With Hindsight Memory (96% confidence, grounded in verified fixes) vs Without Memory (generic, stateless, 45% confidence). Displayed side-by-side to prove the memory advantage.</w:t>
      </w:r>
    </w:p>
    <w:p>
      <w:pPr>
        <w:pStyle w:val="ListBullet"/>
        <w:spacing w:after="60"/>
      </w:pPr>
      <w:r>
        <w:rPr>
          <w:b/>
          <w:color w:val="1F2937"/>
          <w:sz w:val="21"/>
        </w:rPr>
        <w:t xml:space="preserve">Human-in-the-Loop Safety Gate: </w:t>
      </w:r>
      <w:r>
        <w:rPr>
          <w:color w:val="374151"/>
          <w:sz w:val="21"/>
        </w:rPr>
        <w:t>No production command is ever executed autonomously. The engineer reviews the risk level, can modify the command, then clicks Approve. All actions run in SIMULATION MODE with realistic cluster output.</w:t>
      </w:r>
    </w:p>
    <w:p>
      <w:pPr>
        <w:pStyle w:val="ListBullet"/>
        <w:spacing w:after="60"/>
      </w:pPr>
      <w:r>
        <w:rPr>
          <w:b/>
          <w:color w:val="1F2937"/>
          <w:sz w:val="21"/>
        </w:rPr>
        <w:t xml:space="preserve">Automated Verification: </w:t>
      </w:r>
      <w:r>
        <w:rPr>
          <w:color w:val="374151"/>
          <w:sz w:val="21"/>
        </w:rPr>
        <w:t>After execution, SRE-Shield automatically probes the service health endpoint, checks error rate telemetry, and marks the incident RESOLVED only when verified.</w:t>
      </w:r>
    </w:p>
    <w:p>
      <w:pPr>
        <w:pStyle w:val="ListBullet"/>
        <w:spacing w:after="60"/>
      </w:pPr>
      <w:r>
        <w:rPr>
          <w:b/>
          <w:color w:val="1F2937"/>
          <w:sz w:val="21"/>
        </w:rPr>
        <w:t xml:space="preserve">Closed-Loop Post-Mortem &amp; Learning: </w:t>
      </w:r>
      <w:r>
        <w:rPr>
          <w:color w:val="374151"/>
          <w:sz w:val="21"/>
        </w:rPr>
        <w:t>Auto-generated blameless post-mortems are reviewed, approved, and fed back into Hindsight memory — completing the learning loop so future incidents benefit immediately.</w:t>
      </w:r>
    </w:p>
    <w:p>
      <w:pPr>
        <w:pStyle w:val="ListBullet"/>
        <w:spacing w:after="60"/>
      </w:pPr>
      <w:r>
        <w:rPr>
          <w:b/>
          <w:color w:val="1F2937"/>
          <w:sz w:val="21"/>
        </w:rPr>
        <w:t xml:space="preserve">SRE AI Copilot: </w:t>
      </w:r>
      <w:r>
        <w:rPr>
          <w:color w:val="374151"/>
          <w:sz w:val="21"/>
        </w:rPr>
        <w:t>Natural-language chat assistant grounded in incident history, answering questions like What happened last time Redis timed out? with exact citations.</w:t>
      </w:r>
    </w:p>
    <w:p>
      <w:pPr>
        <w:pStyle w:val="ListBullet"/>
        <w:spacing w:after="60"/>
      </w:pPr>
      <w:r>
        <w:rPr>
          <w:b/>
          <w:color w:val="1F2937"/>
          <w:sz w:val="21"/>
        </w:rPr>
        <w:t xml:space="preserve">SRE Analytics Dashboard: </w:t>
      </w:r>
      <w:r>
        <w:rPr>
          <w:color w:val="374151"/>
          <w:sz w:val="21"/>
        </w:rPr>
        <w:t>MTTR reduction curves, service reliability heatmaps, runbook success rates, and severity distribution charts proving organisational learning over time.</w:t>
      </w:r>
    </w:p>
    <w:p>
      <w:r>
        <w:br w:type="page"/>
      </w:r>
    </w:p>
    <w:p>
      <w:pPr>
        <w:pStyle w:val="Heading1"/>
        <w:spacing w:before="280" w:after="120"/>
      </w:pPr>
      <w:r>
        <w:rPr>
          <w:b/>
          <w:color w:val="1E3A5F"/>
        </w:rPr>
        <w:t>3.  Technology Stack</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E3A5F"/>
          </w:tcPr>
          <w:p>
            <w:pPr>
              <w:jc w:val="center"/>
            </w:pPr>
            <w:r>
              <w:rPr>
                <w:b/>
                <w:color w:val="FFFFFF"/>
                <w:sz w:val="20"/>
              </w:rPr>
              <w:t>Layer</w:t>
            </w:r>
          </w:p>
        </w:tc>
        <w:tc>
          <w:tcPr>
            <w:tcW w:type="dxa" w:w="3135"/>
            <w:shd w:val="clear" w:color="auto" w:fill="1E3A5F"/>
          </w:tcPr>
          <w:p>
            <w:pPr>
              <w:jc w:val="center"/>
            </w:pPr>
            <w:r>
              <w:rPr>
                <w:b/>
                <w:color w:val="FFFFFF"/>
                <w:sz w:val="20"/>
              </w:rPr>
              <w:t>Technology</w:t>
            </w:r>
          </w:p>
        </w:tc>
        <w:tc>
          <w:tcPr>
            <w:tcW w:type="dxa" w:w="3135"/>
            <w:shd w:val="clear" w:color="auto" w:fill="1E3A5F"/>
          </w:tcPr>
          <w:p>
            <w:pPr>
              <w:jc w:val="center"/>
            </w:pPr>
            <w:r>
              <w:rPr>
                <w:b/>
                <w:color w:val="FFFFFF"/>
                <w:sz w:val="20"/>
              </w:rPr>
              <w:t>Purpose</w:t>
            </w:r>
          </w:p>
        </w:tc>
      </w:tr>
      <w:tr>
        <w:tc>
          <w:tcPr>
            <w:tcW w:type="dxa" w:w="3135"/>
          </w:tcPr>
          <w:p>
            <w:r>
              <w:rPr>
                <w:b/>
                <w:color w:val="1E3A5F"/>
                <w:sz w:val="19"/>
              </w:rPr>
              <w:t>Backend Framework</w:t>
            </w:r>
          </w:p>
        </w:tc>
        <w:tc>
          <w:tcPr>
            <w:tcW w:type="dxa" w:w="3135"/>
          </w:tcPr>
          <w:p>
            <w:r>
              <w:rPr>
                <w:sz w:val="19"/>
              </w:rPr>
              <w:t>Python 3.10 + FastAPI + Uvicorn</w:t>
            </w:r>
          </w:p>
        </w:tc>
        <w:tc>
          <w:tcPr>
            <w:tcW w:type="dxa" w:w="3135"/>
          </w:tcPr>
          <w:p>
            <w:r>
              <w:rPr>
                <w:sz w:val="19"/>
              </w:rPr>
              <w:t>Async REST API server handling incident ingestion, AI calls, memory operations, and execution endpoints</w:t>
            </w:r>
          </w:p>
        </w:tc>
      </w:tr>
      <w:tr>
        <w:tc>
          <w:tcPr>
            <w:tcW w:type="dxa" w:w="3135"/>
          </w:tcPr>
          <w:p>
            <w:r>
              <w:rPr>
                <w:b/>
                <w:color w:val="1E3A5F"/>
                <w:sz w:val="19"/>
              </w:rPr>
              <w:t>AI Inference</w:t>
            </w:r>
          </w:p>
        </w:tc>
        <w:tc>
          <w:tcPr>
            <w:tcW w:type="dxa" w:w="3135"/>
          </w:tcPr>
          <w:p>
            <w:r>
              <w:rPr>
                <w:sz w:val="19"/>
              </w:rPr>
              <w:t>Groq API (llama-3.3-70b-versatile)</w:t>
            </w:r>
          </w:p>
        </w:tc>
        <w:tc>
          <w:tcPr>
            <w:tcW w:type="dxa" w:w="3135"/>
          </w:tcPr>
          <w:p>
            <w:r>
              <w:rPr>
                <w:sz w:val="19"/>
              </w:rPr>
              <w:t>Ultra-low-latency LLM inference for root cause diagnosis and post-mortem generation; falls back to a local SRE heuristic engine when offline</w:t>
            </w:r>
          </w:p>
        </w:tc>
      </w:tr>
      <w:tr>
        <w:tc>
          <w:tcPr>
            <w:tcW w:type="dxa" w:w="3135"/>
          </w:tcPr>
          <w:p>
            <w:r>
              <w:rPr>
                <w:b/>
                <w:color w:val="1E3A5F"/>
                <w:sz w:val="19"/>
              </w:rPr>
              <w:t>Agent Memory</w:t>
            </w:r>
          </w:p>
        </w:tc>
        <w:tc>
          <w:tcPr>
            <w:tcW w:type="dxa" w:w="3135"/>
          </w:tcPr>
          <w:p>
            <w:r>
              <w:rPr>
                <w:sz w:val="19"/>
              </w:rPr>
              <w:t>Hindsight 4-Network Architecture</w:t>
            </w:r>
          </w:p>
        </w:tc>
        <w:tc>
          <w:tcPr>
            <w:tcW w:type="dxa" w:w="3135"/>
          </w:tcPr>
          <w:p>
            <w:r>
              <w:rPr>
                <w:sz w:val="19"/>
              </w:rPr>
              <w:t>Persistent structured memory: World Network, Experience Network, Entity Summaries, Evolving Beliefs — with Retain, Recall, Reflect operations</w:t>
            </w:r>
          </w:p>
        </w:tc>
      </w:tr>
      <w:tr>
        <w:tc>
          <w:tcPr>
            <w:tcW w:type="dxa" w:w="3135"/>
          </w:tcPr>
          <w:p>
            <w:r>
              <w:rPr>
                <w:b/>
                <w:color w:val="1E3A5F"/>
                <w:sz w:val="19"/>
              </w:rPr>
              <w:t>Vector Search</w:t>
            </w:r>
          </w:p>
        </w:tc>
        <w:tc>
          <w:tcPr>
            <w:tcW w:type="dxa" w:w="3135"/>
          </w:tcPr>
          <w:p>
            <w:r>
              <w:rPr>
                <w:sz w:val="19"/>
              </w:rPr>
              <w:t>scikit-learn TF-IDF + Cosine Similarity + SRE Keyword Boosting</w:t>
            </w:r>
          </w:p>
        </w:tc>
        <w:tc>
          <w:tcPr>
            <w:tcW w:type="dxa" w:w="3135"/>
          </w:tcPr>
          <w:p>
            <w:r>
              <w:rPr>
                <w:sz w:val="19"/>
              </w:rPr>
              <w:t>Hybrid semantic recall combining vector cosine distance with exact SRE error pattern boosting (HTTP 500, OOMKilled, pool exhausted, etc.)</w:t>
            </w:r>
          </w:p>
        </w:tc>
      </w:tr>
      <w:tr>
        <w:tc>
          <w:tcPr>
            <w:tcW w:type="dxa" w:w="3135"/>
          </w:tcPr>
          <w:p>
            <w:r>
              <w:rPr>
                <w:b/>
                <w:color w:val="1E3A5F"/>
                <w:sz w:val="19"/>
              </w:rPr>
              <w:t>Database / ORM</w:t>
            </w:r>
          </w:p>
        </w:tc>
        <w:tc>
          <w:tcPr>
            <w:tcW w:type="dxa" w:w="3135"/>
          </w:tcPr>
          <w:p>
            <w:r>
              <w:rPr>
                <w:sz w:val="19"/>
              </w:rPr>
              <w:t>SQLAlchemy 2.0 + aiosqlite (async SQLite)</w:t>
            </w:r>
          </w:p>
        </w:tc>
        <w:tc>
          <w:tcPr>
            <w:tcW w:type="dxa" w:w="3135"/>
          </w:tcPr>
          <w:p>
            <w:r>
              <w:rPr>
                <w:sz w:val="19"/>
              </w:rPr>
              <w:t>Zero-friction local persistence; pluggable to PostgreSQL + pgvector via DATABASE_URL environment variable</w:t>
            </w:r>
          </w:p>
        </w:tc>
      </w:tr>
      <w:tr>
        <w:tc>
          <w:tcPr>
            <w:tcW w:type="dxa" w:w="3135"/>
          </w:tcPr>
          <w:p>
            <w:r>
              <w:rPr>
                <w:b/>
                <w:color w:val="1E3A5F"/>
                <w:sz w:val="19"/>
              </w:rPr>
              <w:t>Security</w:t>
            </w:r>
          </w:p>
        </w:tc>
        <w:tc>
          <w:tcPr>
            <w:tcW w:type="dxa" w:w="3135"/>
          </w:tcPr>
          <w:p>
            <w:r>
              <w:rPr>
                <w:sz w:val="19"/>
              </w:rPr>
              <w:t>Memory Defense Sanitizer (custom regex engine)</w:t>
            </w:r>
          </w:p>
        </w:tc>
        <w:tc>
          <w:tcPr>
            <w:tcW w:type="dxa" w:w="3135"/>
          </w:tcPr>
          <w:p>
            <w:r>
              <w:rPr>
                <w:sz w:val="19"/>
              </w:rPr>
              <w:t>Detects and masks passwords, Bearer tokens, JWTs, AWS keys, private key blocks, credit cards, and PII before persistence</w:t>
            </w:r>
          </w:p>
        </w:tc>
      </w:tr>
      <w:tr>
        <w:tc>
          <w:tcPr>
            <w:tcW w:type="dxa" w:w="3135"/>
          </w:tcPr>
          <w:p>
            <w:r>
              <w:rPr>
                <w:b/>
                <w:color w:val="1E3A5F"/>
                <w:sz w:val="19"/>
              </w:rPr>
              <w:t>Frontend</w:t>
            </w:r>
          </w:p>
        </w:tc>
        <w:tc>
          <w:tcPr>
            <w:tcW w:type="dxa" w:w="3135"/>
          </w:tcPr>
          <w:p>
            <w:r>
              <w:rPr>
                <w:sz w:val="19"/>
              </w:rPr>
              <w:t>Streamlit 1.32+ with Plotly + Custom Dark CSS</w:t>
            </w:r>
          </w:p>
        </w:tc>
        <w:tc>
          <w:tcPr>
            <w:tcW w:type="dxa" w:w="3135"/>
          </w:tcPr>
          <w:p>
            <w:r>
              <w:rPr>
                <w:sz w:val="19"/>
              </w:rPr>
              <w:t>Professional enterprise SRE dashboard with live telemetry cards, charts, incident timelines, and approval controls</w:t>
            </w:r>
          </w:p>
        </w:tc>
      </w:tr>
      <w:tr>
        <w:tc>
          <w:tcPr>
            <w:tcW w:type="dxa" w:w="3135"/>
          </w:tcPr>
          <w:p>
            <w:r>
              <w:rPr>
                <w:b/>
                <w:color w:val="1E3A5F"/>
                <w:sz w:val="19"/>
              </w:rPr>
              <w:t>Containerisation</w:t>
            </w:r>
          </w:p>
        </w:tc>
        <w:tc>
          <w:tcPr>
            <w:tcW w:type="dxa" w:w="3135"/>
          </w:tcPr>
          <w:p>
            <w:r>
              <w:rPr>
                <w:sz w:val="19"/>
              </w:rPr>
              <w:t>Docker + Docker Compose</w:t>
            </w:r>
          </w:p>
        </w:tc>
        <w:tc>
          <w:tcPr>
            <w:tcW w:type="dxa" w:w="3135"/>
          </w:tcPr>
          <w:p>
            <w:r>
              <w:rPr>
                <w:sz w:val="19"/>
              </w:rPr>
              <w:t>Single docker-compose up --build launches the entire platform</w:t>
            </w:r>
          </w:p>
        </w:tc>
      </w:tr>
    </w:tbl>
    <w:p/>
    <w:p>
      <w:r>
        <w:br w:type="page"/>
      </w:r>
    </w:p>
    <w:p>
      <w:pPr>
        <w:pStyle w:val="Heading1"/>
        <w:spacing w:before="280" w:after="120"/>
      </w:pPr>
      <w:r>
        <w:rPr>
          <w:b/>
          <w:color w:val="1E3A5F"/>
        </w:rPr>
        <w:t>4.  Hindsight Agent Memory Architecture</w:t>
      </w:r>
    </w:p>
    <w:p>
      <w:pPr>
        <w:spacing w:after="120"/>
      </w:pPr>
      <w:r>
        <w:rPr>
          <w:b w:val="0"/>
          <w:i w:val="0"/>
          <w:color w:val="1F2937"/>
          <w:sz w:val="21"/>
        </w:rPr>
        <w:t>The most important differentiator of SRE-Shield is its memory layer. Unlike standard RAG architectures that store flat text chunks in a vector database, SRE-Shield implements the Hindsight Agent Memory model — organising knowledge into four distinct cognitive networks that mirror how a seasoned SRE actually thinks and reasons.</w:t>
      </w:r>
    </w:p>
    <w:p>
      <w:pPr>
        <w:pStyle w:val="Heading2"/>
        <w:spacing w:before="280" w:after="120"/>
      </w:pPr>
      <w:r>
        <w:rPr>
          <w:b/>
          <w:color w:val="2563EB"/>
        </w:rPr>
        <w:t>4.1  Why Hindsight Is Different from Standard RAG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E3A5F"/>
          </w:tcPr>
          <w:p>
            <w:r>
              <w:rPr>
                <w:b/>
                <w:color w:val="FFFFFF"/>
                <w:sz w:val="19"/>
              </w:rPr>
              <w:t>Capability</w:t>
            </w:r>
          </w:p>
        </w:tc>
        <w:tc>
          <w:tcPr>
            <w:tcW w:type="dxa" w:w="3135"/>
            <w:shd w:val="clear" w:color="auto" w:fill="7F1D1D"/>
          </w:tcPr>
          <w:p>
            <w:r>
              <w:rPr>
                <w:b/>
                <w:color w:val="FFFFFF"/>
                <w:sz w:val="19"/>
              </w:rPr>
              <w:t>Standard RAG System</w:t>
            </w:r>
          </w:p>
        </w:tc>
        <w:tc>
          <w:tcPr>
            <w:tcW w:type="dxa" w:w="3135"/>
            <w:shd w:val="clear" w:color="auto" w:fill="064E3B"/>
          </w:tcPr>
          <w:p>
            <w:r>
              <w:rPr>
                <w:b/>
                <w:color w:val="FFFFFF"/>
                <w:sz w:val="19"/>
              </w:rPr>
              <w:t>Hindsight Agent Memory (SRE-Shield)</w:t>
            </w:r>
          </w:p>
        </w:tc>
      </w:tr>
      <w:tr>
        <w:tc>
          <w:tcPr>
            <w:tcW w:type="dxa" w:w="3135"/>
          </w:tcPr>
          <w:p>
            <w:r>
              <w:rPr>
                <w:b/>
                <w:color w:val="1E3A5F"/>
                <w:sz w:val="18"/>
              </w:rPr>
              <w:t>Memory Structure</w:t>
            </w:r>
          </w:p>
        </w:tc>
        <w:tc>
          <w:tcPr>
            <w:tcW w:type="dxa" w:w="3135"/>
          </w:tcPr>
          <w:p>
            <w:r>
              <w:rPr>
                <w:color w:val="7F1D1D"/>
                <w:sz w:val="18"/>
              </w:rPr>
              <w:t>Flat chunks of text in a vector index</w:t>
            </w:r>
          </w:p>
        </w:tc>
        <w:tc>
          <w:tcPr>
            <w:tcW w:type="dxa" w:w="3135"/>
          </w:tcPr>
          <w:p>
            <w:r>
              <w:rPr>
                <w:color w:val="064E3B"/>
                <w:sz w:val="18"/>
              </w:rPr>
              <w:t>4 specialised cognitive networks with typed, structured records</w:t>
            </w:r>
          </w:p>
        </w:tc>
      </w:tr>
      <w:tr>
        <w:tc>
          <w:tcPr>
            <w:tcW w:type="dxa" w:w="3135"/>
          </w:tcPr>
          <w:p>
            <w:r>
              <w:rPr>
                <w:b/>
                <w:color w:val="1E3A5F"/>
                <w:sz w:val="18"/>
              </w:rPr>
              <w:t>Recall Quality</w:t>
            </w:r>
          </w:p>
        </w:tc>
        <w:tc>
          <w:tcPr>
            <w:tcW w:type="dxa" w:w="3135"/>
          </w:tcPr>
          <w:p>
            <w:r>
              <w:rPr>
                <w:color w:val="7F1D1D"/>
                <w:sz w:val="18"/>
              </w:rPr>
              <w:t>Cosine similarity on raw text</w:t>
            </w:r>
          </w:p>
        </w:tc>
        <w:tc>
          <w:tcPr>
            <w:tcW w:type="dxa" w:w="3135"/>
          </w:tcPr>
          <w:p>
            <w:r>
              <w:rPr>
                <w:color w:val="064E3B"/>
                <w:sz w:val="18"/>
              </w:rPr>
              <w:t>Hybrid: vector similarity + SRE keyword boosting + service-name weighting</w:t>
            </w:r>
          </w:p>
        </w:tc>
      </w:tr>
      <w:tr>
        <w:tc>
          <w:tcPr>
            <w:tcW w:type="dxa" w:w="3135"/>
          </w:tcPr>
          <w:p>
            <w:r>
              <w:rPr>
                <w:b/>
                <w:color w:val="1E3A5F"/>
                <w:sz w:val="18"/>
              </w:rPr>
              <w:t>Self-Learning</w:t>
            </w:r>
          </w:p>
        </w:tc>
        <w:tc>
          <w:tcPr>
            <w:tcW w:type="dxa" w:w="3135"/>
          </w:tcPr>
          <w:p>
            <w:r>
              <w:rPr>
                <w:color w:val="7F1D1D"/>
                <w:sz w:val="18"/>
              </w:rPr>
              <w:t>Static; requires manual re-indexing</w:t>
            </w:r>
          </w:p>
        </w:tc>
        <w:tc>
          <w:tcPr>
            <w:tcW w:type="dxa" w:w="3135"/>
          </w:tcPr>
          <w:p>
            <w:r>
              <w:rPr>
                <w:color w:val="064E3B"/>
                <w:sz w:val="18"/>
              </w:rPr>
              <w:t>Closed-loop: every approved post-mortem automatically teaches the system</w:t>
            </w:r>
          </w:p>
        </w:tc>
      </w:tr>
      <w:tr>
        <w:tc>
          <w:tcPr>
            <w:tcW w:type="dxa" w:w="3135"/>
          </w:tcPr>
          <w:p>
            <w:r>
              <w:rPr>
                <w:b/>
                <w:color w:val="1E3A5F"/>
                <w:sz w:val="18"/>
              </w:rPr>
              <w:t>Entity Profiles</w:t>
            </w:r>
          </w:p>
        </w:tc>
        <w:tc>
          <w:tcPr>
            <w:tcW w:type="dxa" w:w="3135"/>
          </w:tcPr>
          <w:p>
            <w:r>
              <w:rPr>
                <w:color w:val="7F1D1D"/>
                <w:sz w:val="18"/>
              </w:rPr>
              <w:t>Not supported</w:t>
            </w:r>
          </w:p>
        </w:tc>
        <w:tc>
          <w:tcPr>
            <w:tcW w:type="dxa" w:w="3135"/>
          </w:tcPr>
          <w:p>
            <w:r>
              <w:rPr>
                <w:color w:val="064E3B"/>
                <w:sz w:val="18"/>
              </w:rPr>
              <w:t>Rolling synthesized profile per microservice with failure modes and MTTR</w:t>
            </w:r>
          </w:p>
        </w:tc>
      </w:tr>
      <w:tr>
        <w:tc>
          <w:tcPr>
            <w:tcW w:type="dxa" w:w="3135"/>
          </w:tcPr>
          <w:p>
            <w:r>
              <w:rPr>
                <w:b/>
                <w:color w:val="1E3A5F"/>
                <w:sz w:val="18"/>
              </w:rPr>
              <w:t>Calibrated Beliefs</w:t>
            </w:r>
          </w:p>
        </w:tc>
        <w:tc>
          <w:tcPr>
            <w:tcW w:type="dxa" w:w="3135"/>
          </w:tcPr>
          <w:p>
            <w:r>
              <w:rPr>
                <w:color w:val="7F1D1D"/>
                <w:sz w:val="18"/>
              </w:rPr>
              <w:t>Not supported</w:t>
            </w:r>
          </w:p>
        </w:tc>
        <w:tc>
          <w:tcPr>
            <w:tcW w:type="dxa" w:w="3135"/>
          </w:tcPr>
          <w:p>
            <w:r>
              <w:rPr>
                <w:color w:val="064E3B"/>
                <w:sz w:val="18"/>
              </w:rPr>
              <w:t>Confidence-rated operational invariants that grow stronger with each incident</w:t>
            </w:r>
          </w:p>
        </w:tc>
      </w:tr>
      <w:tr>
        <w:tc>
          <w:tcPr>
            <w:tcW w:type="dxa" w:w="3135"/>
          </w:tcPr>
          <w:p>
            <w:r>
              <w:rPr>
                <w:b/>
                <w:color w:val="1E3A5F"/>
                <w:sz w:val="18"/>
              </w:rPr>
              <w:t>Secret Safety</w:t>
            </w:r>
          </w:p>
        </w:tc>
        <w:tc>
          <w:tcPr>
            <w:tcW w:type="dxa" w:w="3135"/>
          </w:tcPr>
          <w:p>
            <w:r>
              <w:rPr>
                <w:color w:val="7F1D1D"/>
                <w:sz w:val="18"/>
              </w:rPr>
              <w:t>Secrets embedded in raw chunks</w:t>
            </w:r>
          </w:p>
        </w:tc>
        <w:tc>
          <w:tcPr>
            <w:tcW w:type="dxa" w:w="3135"/>
          </w:tcPr>
          <w:p>
            <w:r>
              <w:rPr>
                <w:color w:val="064E3B"/>
                <w:sz w:val="18"/>
              </w:rPr>
              <w:t>Memory Defense sanitization before any data enters storage</w:t>
            </w:r>
          </w:p>
        </w:tc>
      </w:tr>
      <w:tr>
        <w:tc>
          <w:tcPr>
            <w:tcW w:type="dxa" w:w="3135"/>
          </w:tcPr>
          <w:p>
            <w:r>
              <w:rPr>
                <w:b/>
                <w:color w:val="1E3A5F"/>
                <w:sz w:val="18"/>
              </w:rPr>
              <w:t>Recall Transparency</w:t>
            </w:r>
          </w:p>
        </w:tc>
        <w:tc>
          <w:tcPr>
            <w:tcW w:type="dxa" w:w="3135"/>
          </w:tcPr>
          <w:p>
            <w:r>
              <w:rPr>
                <w:color w:val="7F1D1D"/>
                <w:sz w:val="18"/>
              </w:rPr>
              <w:t>Black-box similarity score</w:t>
            </w:r>
          </w:p>
        </w:tc>
        <w:tc>
          <w:tcPr>
            <w:tcW w:type="dxa" w:w="3135"/>
          </w:tcPr>
          <w:p>
            <w:r>
              <w:rPr>
                <w:color w:val="064E3B"/>
                <w:sz w:val="18"/>
              </w:rPr>
              <w:t>Explicit citation: Incident ID, root cause, runbook, outcome, recall count</w:t>
            </w:r>
          </w:p>
        </w:tc>
      </w:tr>
    </w:tbl>
    <w:p/>
    <w:p>
      <w:pPr>
        <w:pStyle w:val="Heading2"/>
        <w:spacing w:before="280" w:after="120"/>
      </w:pPr>
      <w:r>
        <w:rPr>
          <w:b/>
          <w:color w:val="2563EB"/>
        </w:rPr>
        <w:t>4.2  The 4 Hindsight Networks</w:t>
      </w:r>
    </w:p>
    <w:p>
      <w:pPr>
        <w:pStyle w:val="Heading3"/>
        <w:spacing w:before="280" w:after="120"/>
      </w:pPr>
      <w:r>
        <w:rPr>
          <w:b/>
          <w:color w:val="374151"/>
        </w:rPr>
        <w:t>Network 1 — World Network (Objective Architecture &amp; Constraints)</w:t>
      </w:r>
    </w:p>
    <w:p>
      <w:pPr>
        <w:spacing w:after="120"/>
      </w:pPr>
      <w:r>
        <w:rPr>
          <w:b w:val="0"/>
          <w:i w:val="0"/>
          <w:color w:val="1F2937"/>
          <w:sz w:val="20"/>
        </w:rPr>
        <w:t>Stores immutable facts about system topology, operational limits, and SLAs that never change between incidents.</w:t>
      </w:r>
    </w:p>
    <w:tbl>
      <w:tblPr>
        <w:tblW w:type="auto" w:w="0"/>
        <w:jc w:val="left"/>
        <w:tblLook w:firstColumn="1" w:firstRow="1" w:lastColumn="0" w:lastRow="0" w:noHBand="0" w:noVBand="1" w:val="04A0"/>
      </w:tblPr>
      <w:tblGrid>
        <w:gridCol w:w="9406"/>
      </w:tblGrid>
      <w:tr>
        <w:tc>
          <w:tcPr>
            <w:tcW w:type="dxa" w:w="9406"/>
            <w:shd w:val="clear" w:color="auto" w:fill="E0F2FE"/>
            <w:tcBorders>
              <w:top w:val="single" w:sz="6" w:space="0" w:color="0284C7"/>
              <w:left w:val="single" w:sz="6" w:space="0" w:color="0284C7"/>
              <w:bottom w:val="single" w:sz="6" w:space="0" w:color="0284C7"/>
              <w:right w:val="single" w:sz="6" w:space="0" w:color="0284C7"/>
            </w:tcBorders>
          </w:tcPr>
          <w:p/>
          <w:p/>
          <w:p>
            <w:pPr>
              <w:spacing w:after="80"/>
            </w:pPr>
            <w:r>
              <w:rPr>
                <w:b/>
                <w:color w:val="1F2937"/>
                <w:sz w:val="20"/>
              </w:rPr>
              <w:t>Examples stored in this network:</w:t>
            </w:r>
          </w:p>
          <w:p>
            <w:pPr>
              <w:spacing w:after="40"/>
            </w:pPr>
            <w:r>
              <w:rPr>
                <w:color w:val="1F2937"/>
                <w:sz w:val="19"/>
              </w:rPr>
              <w:t>Checkout API PostgreSQL connection pool maximum: 50 connections across 4 pods</w:t>
            </w:r>
          </w:p>
          <w:p>
            <w:pPr>
              <w:spacing w:after="40"/>
            </w:pPr>
            <w:r>
              <w:rPr>
                <w:color w:val="1F2937"/>
                <w:sz w:val="19"/>
              </w:rPr>
              <w:t>Checkout API 99.9% availability SLO: error rate must stay below 0.1% over a 30-day window</w:t>
            </w:r>
          </w:p>
          <w:p>
            <w:pPr>
              <w:spacing w:after="40"/>
            </w:pPr>
            <w:r>
              <w:rPr>
                <w:color w:val="1F2937"/>
                <w:sz w:val="19"/>
              </w:rPr>
              <w:t>Payment Gateway communicates with Stripe via mTLS over egress NAT gateway</w:t>
            </w:r>
          </w:p>
          <w:p>
            <w:pPr>
              <w:spacing w:after="40"/>
            </w:pPr>
            <w:r>
              <w:rPr>
                <w:color w:val="1F2937"/>
                <w:sz w:val="19"/>
              </w:rPr>
              <w:t>User Auth Service depends strictly on Redis Cluster for OAuth2 token validation</w:t>
            </w:r>
          </w:p>
          <w:p/>
        </w:tc>
      </w:tr>
    </w:tbl>
    <w:p/>
    <w:p>
      <w:pPr>
        <w:pStyle w:val="Heading3"/>
        <w:spacing w:before="280" w:after="120"/>
      </w:pPr>
      <w:r>
        <w:rPr>
          <w:b/>
          <w:color w:val="374151"/>
        </w:rPr>
        <w:t>Network 2 — Experience Network (First-Person SRE Action History)</w:t>
      </w:r>
    </w:p>
    <w:p>
      <w:pPr>
        <w:spacing w:after="120"/>
      </w:pPr>
      <w:r>
        <w:rPr>
          <w:b w:val="0"/>
          <w:i w:val="0"/>
          <w:color w:val="1F2937"/>
          <w:sz w:val="20"/>
        </w:rPr>
        <w:t>Stores complete incident resolution trajectories — the core memory bank. Each record captures the full problem-solving arc.</w:t>
      </w:r>
    </w:p>
    <w:tbl>
      <w:tblPr>
        <w:tblW w:type="auto" w:w="0"/>
        <w:jc w:val="left"/>
        <w:tblLook w:firstColumn="1" w:firstRow="1" w:lastColumn="0" w:lastRow="0" w:noHBand="0" w:noVBand="1" w:val="04A0"/>
      </w:tblPr>
      <w:tblGrid>
        <w:gridCol w:w="9406"/>
      </w:tblGrid>
      <w:tr>
        <w:tc>
          <w:tcPr>
            <w:tcW w:type="dxa" w:w="9406"/>
            <w:shd w:val="clear" w:color="auto" w:fill="F0FDF4"/>
            <w:tcBorders>
              <w:top w:val="single" w:sz="6" w:space="0" w:color="16A34A"/>
              <w:left w:val="single" w:sz="6" w:space="0" w:color="16A34A"/>
              <w:bottom w:val="single" w:sz="6" w:space="0" w:color="16A34A"/>
              <w:right w:val="single" w:sz="6" w:space="0" w:color="16A34A"/>
            </w:tcBorders>
          </w:tcPr>
          <w:p/>
          <w:p/>
          <w:p>
            <w:pPr>
              <w:spacing w:after="80"/>
            </w:pPr>
            <w:r>
              <w:rPr>
                <w:b/>
                <w:color w:val="1F2937"/>
                <w:sz w:val="20"/>
              </w:rPr>
              <w:t>Examples stored in this network:</w:t>
            </w:r>
          </w:p>
          <w:p>
            <w:pPr>
              <w:spacing w:after="40"/>
            </w:pPr>
            <w:r>
              <w:rPr>
                <w:color w:val="1F2937"/>
                <w:sz w:val="19"/>
              </w:rPr>
              <w:t>Error Signature: the exact alert text or exception that fired</w:t>
            </w:r>
          </w:p>
          <w:p>
            <w:pPr>
              <w:spacing w:after="40"/>
            </w:pPr>
            <w:r>
              <w:rPr>
                <w:color w:val="1F2937"/>
                <w:sz w:val="19"/>
              </w:rPr>
              <w:t>Root Cause: the confirmed failure mode</w:t>
            </w:r>
          </w:p>
          <w:p>
            <w:pPr>
              <w:spacing w:after="40"/>
            </w:pPr>
            <w:r>
              <w:rPr>
                <w:color w:val="1F2937"/>
                <w:sz w:val="19"/>
              </w:rPr>
              <w:t>Resolution Strategy: the approved remediation plan</w:t>
            </w:r>
          </w:p>
          <w:p>
            <w:pPr>
              <w:spacing w:after="40"/>
            </w:pPr>
            <w:r>
              <w:rPr>
                <w:color w:val="1F2937"/>
                <w:sz w:val="19"/>
              </w:rPr>
              <w:t>Successful Commands: the specific CLI commands that worked</w:t>
            </w:r>
          </w:p>
          <w:p>
            <w:pPr>
              <w:spacing w:after="40"/>
            </w:pPr>
            <w:r>
              <w:rPr>
                <w:color w:val="1F2937"/>
                <w:sz w:val="19"/>
              </w:rPr>
              <w:t>Runbook Code: the standard operating procedure applied</w:t>
            </w:r>
          </w:p>
          <w:p>
            <w:pPr>
              <w:spacing w:after="40"/>
            </w:pPr>
            <w:r>
              <w:rPr>
                <w:color w:val="1F2937"/>
                <w:sz w:val="19"/>
              </w:rPr>
              <w:t>Outcome: SUCCESS or FAILED</w:t>
            </w:r>
          </w:p>
          <w:p>
            <w:pPr>
              <w:spacing w:after="40"/>
            </w:pPr>
            <w:r>
              <w:rPr>
                <w:color w:val="1F2937"/>
                <w:sz w:val="19"/>
              </w:rPr>
              <w:t>Post-Mortem Summary: the distilled lessons</w:t>
            </w:r>
          </w:p>
          <w:p>
            <w:pPr>
              <w:spacing w:after="40"/>
            </w:pPr>
            <w:r>
              <w:rPr>
                <w:color w:val="1F2937"/>
                <w:sz w:val="19"/>
              </w:rPr>
              <w:t>Recall Count: how many times this memory has been retrieved</w:t>
            </w:r>
          </w:p>
          <w:p/>
        </w:tc>
      </w:tr>
    </w:tbl>
    <w:p/>
    <w:p>
      <w:pPr>
        <w:pStyle w:val="Heading3"/>
        <w:spacing w:before="280" w:after="120"/>
      </w:pPr>
      <w:r>
        <w:rPr>
          <w:b/>
          <w:color w:val="374151"/>
        </w:rPr>
        <w:t>Network 3 — Entity Summaries (Rolling Service Profiles)</w:t>
      </w:r>
    </w:p>
    <w:p>
      <w:pPr>
        <w:spacing w:after="120"/>
      </w:pPr>
      <w:r>
        <w:rPr>
          <w:b w:val="0"/>
          <w:i w:val="0"/>
          <w:color w:val="1F2937"/>
          <w:sz w:val="20"/>
        </w:rPr>
        <w:t>A continuous synthesis of each microservice's incident history — updated automatically via Reflection after every post-mortem approval.</w:t>
      </w:r>
    </w:p>
    <w:tbl>
      <w:tblPr>
        <w:tblW w:type="auto" w:w="0"/>
        <w:jc w:val="left"/>
        <w:tblLook w:firstColumn="1" w:firstRow="1" w:lastColumn="0" w:lastRow="0" w:noHBand="0" w:noVBand="1" w:val="04A0"/>
      </w:tblPr>
      <w:tblGrid>
        <w:gridCol w:w="9406"/>
      </w:tblGrid>
      <w:tr>
        <w:tc>
          <w:tcPr>
            <w:tcW w:type="dxa" w:w="9406"/>
            <w:shd w:val="clear" w:color="auto" w:fill="FFFBEB"/>
            <w:tcBorders>
              <w:top w:val="single" w:sz="6" w:space="0" w:color="D97706"/>
              <w:left w:val="single" w:sz="6" w:space="0" w:color="D97706"/>
              <w:bottom w:val="single" w:sz="6" w:space="0" w:color="D97706"/>
              <w:right w:val="single" w:sz="6" w:space="0" w:color="D97706"/>
            </w:tcBorders>
          </w:tcPr>
          <w:p/>
          <w:p/>
          <w:p>
            <w:pPr>
              <w:spacing w:after="80"/>
            </w:pPr>
            <w:r>
              <w:rPr>
                <w:b/>
                <w:color w:val="1F2937"/>
                <w:sz w:val="20"/>
              </w:rPr>
              <w:t>Examples stored in this network:</w:t>
            </w:r>
          </w:p>
          <w:p>
            <w:pPr>
              <w:spacing w:after="40"/>
            </w:pPr>
            <w:r>
              <w:rPr>
                <w:color w:val="1F2937"/>
                <w:sz w:val="19"/>
              </w:rPr>
              <w:t>Checkout API: Prone to database connection pool starvation when traffic &gt; 15,000 rps. Requires pool size &gt;= 50 and a rollout restart after patching. 3 incidents, avg MTTR 12 minutes.</w:t>
            </w:r>
          </w:p>
          <w:p>
            <w:pPr>
              <w:spacing w:after="40"/>
            </w:pPr>
            <w:r>
              <w:rPr>
                <w:color w:val="1F2937"/>
                <w:sz w:val="19"/>
              </w:rPr>
              <w:t>Inventory Service: JVM heap OOMKilled by unpaginated bulk queries during warehouse sync. Memory limit must maintain 30% headroom. 2 incidents, avg MTTR 8 minutes.</w:t>
            </w:r>
          </w:p>
          <w:p>
            <w:pPr>
              <w:spacing w:after="40"/>
            </w:pPr>
            <w:r>
              <w:rPr>
                <w:color w:val="1F2937"/>
                <w:sz w:val="19"/>
              </w:rPr>
              <w:t>Redis Cache: OOM lockup triggered by noeviction policy. Must maintain allkeys-lru and 8 GB maxmemory. 1 incident, avg MTTR 6 minutes.</w:t>
            </w:r>
          </w:p>
          <w:p/>
        </w:tc>
      </w:tr>
    </w:tbl>
    <w:p/>
    <w:p>
      <w:pPr>
        <w:pStyle w:val="Heading3"/>
        <w:spacing w:before="280" w:after="120"/>
      </w:pPr>
      <w:r>
        <w:rPr>
          <w:b/>
          <w:color w:val="374151"/>
        </w:rPr>
        <w:t>Network 4 — Evolving Beliefs (Calibrated Wisdom &amp; Heuristics)</w:t>
      </w:r>
    </w:p>
    <w:p>
      <w:pPr>
        <w:spacing w:after="120"/>
      </w:pPr>
      <w:r>
        <w:rPr>
          <w:b w:val="0"/>
          <w:i w:val="0"/>
          <w:color w:val="1F2937"/>
          <w:sz w:val="20"/>
        </w:rPr>
        <w:t>High-level operational invariants that the system develops over time — analogous to the mental models a 10-year SRE accumulates from repeated firefighting.</w:t>
      </w:r>
    </w:p>
    <w:tbl>
      <w:tblPr>
        <w:tblW w:type="auto" w:w="0"/>
        <w:jc w:val="left"/>
        <w:tblLook w:firstColumn="1" w:firstRow="1" w:lastColumn="0" w:lastRow="0" w:noHBand="0" w:noVBand="1" w:val="04A0"/>
      </w:tblPr>
      <w:tblGrid>
        <w:gridCol w:w="9406"/>
      </w:tblGrid>
      <w:tr>
        <w:tc>
          <w:tcPr>
            <w:tcW w:type="dxa" w:w="9406"/>
            <w:shd w:val="clear" w:color="auto" w:fill="F5F3FF"/>
            <w:tcBorders>
              <w:top w:val="single" w:sz="6" w:space="0" w:color="7C3AED"/>
              <w:left w:val="single" w:sz="6" w:space="0" w:color="7C3AED"/>
              <w:bottom w:val="single" w:sz="6" w:space="0" w:color="7C3AED"/>
              <w:right w:val="single" w:sz="6" w:space="0" w:color="7C3AED"/>
            </w:tcBorders>
          </w:tcPr>
          <w:p/>
          <w:p/>
          <w:p>
            <w:pPr>
              <w:spacing w:after="80"/>
            </w:pPr>
            <w:r>
              <w:rPr>
                <w:b/>
                <w:color w:val="1F2937"/>
                <w:sz w:val="20"/>
              </w:rPr>
              <w:t>Examples stored in this network:</w:t>
            </w:r>
          </w:p>
          <w:p>
            <w:pPr>
              <w:spacing w:after="40"/>
            </w:pPr>
            <w:r>
              <w:rPr>
                <w:color w:val="1F2937"/>
                <w:sz w:val="19"/>
              </w:rPr>
              <w:t>Domain: Database | Confidence 96% | "When Checkout API reports connection pool exhausted, patching the ConfigMap without a rollout restart leaves dangling sessions — always execute patch and rollout restart together."</w:t>
            </w:r>
          </w:p>
          <w:p>
            <w:pPr>
              <w:spacing w:after="40"/>
            </w:pPr>
            <w:r>
              <w:rPr>
                <w:color w:val="1F2937"/>
                <w:sz w:val="19"/>
              </w:rPr>
              <w:t>Domain: Kubernetes | Confidence 94% | "Container Exit Code 137 is invariably OOMKilled. Bumping memory limit by 2.5x immediately stops CrashLoopBackOff before deep heap analysis is needed."</w:t>
            </w:r>
          </w:p>
          <w:p>
            <w:pPr>
              <w:spacing w:after="40"/>
            </w:pPr>
            <w:r>
              <w:rPr>
                <w:color w:val="1F2937"/>
                <w:sz w:val="19"/>
              </w:rPr>
              <w:t>Domain: Deployments | Confidence 98% | "Startup crashes within 5 minutes of a CI/CD deploy indicate a missing environment secret — fast rollback has 100% MTTR superiority over live debugging."</w:t>
            </w:r>
          </w:p>
          <w:p/>
        </w:tc>
      </w:tr>
    </w:tbl>
    <w:p/>
    <w:p>
      <w:pPr>
        <w:pStyle w:val="Heading2"/>
        <w:spacing w:before="280" w:after="120"/>
      </w:pPr>
      <w:r>
        <w:rPr>
          <w:b/>
          <w:color w:val="2563EB"/>
        </w:rPr>
        <w:t>4.3  The 3 Core Memory Operations</w:t>
      </w:r>
    </w:p>
    <w:p>
      <w:pPr>
        <w:ind w:left="288"/>
      </w:pPr>
      <w:r>
        <w:rPr>
          <w:rFonts w:ascii="Courier New" w:hAnsi="Courier New"/>
          <w:b/>
          <w:color w:val="1E40AF"/>
          <w:sz w:val="22"/>
        </w:rPr>
        <w:t xml:space="preserve">retain()  </w:t>
      </w:r>
    </w:p>
    <w:p>
      <w:pPr>
        <w:ind w:left="576"/>
      </w:pPr>
      <w:r>
        <w:rPr>
          <w:color w:val="1F2937"/>
          <w:sz w:val="20"/>
        </w:rPr>
        <w:t>Triggered after every resolved incident and approved post-mortem. Runs the Memory Defense sanitization pass first (masking secrets), then stores the experience into the Experience Network, updates the embedding index, and writes an audit log entry. Optionally syncs to the remote Hindsight cloud API if an API key is configured.</w:t>
      </w:r>
    </w:p>
    <w:p>
      <w:pPr>
        <w:spacing w:after="200"/>
        <w:ind w:left="576"/>
      </w:pPr>
      <w:r>
        <w:rPr>
          <w:i/>
          <w:color w:val="4B5563"/>
          <w:sz w:val="19"/>
        </w:rPr>
        <w:t>Returns: experience_id, sanitization_report, reflection result, remote_synced flag</w:t>
      </w:r>
    </w:p>
    <w:p>
      <w:pPr>
        <w:ind w:left="288"/>
      </w:pPr>
      <w:r>
        <w:rPr>
          <w:rFonts w:ascii="Courier New" w:hAnsi="Courier New"/>
          <w:b/>
          <w:color w:val="1E40AF"/>
          <w:sz w:val="22"/>
        </w:rPr>
        <w:t xml:space="preserve">recall()  </w:t>
      </w:r>
    </w:p>
    <w:p>
      <w:pPr>
        <w:ind w:left="576"/>
      </w:pPr>
      <w:r>
        <w:rPr>
          <w:color w:val="1F2937"/>
          <w:sz w:val="20"/>
        </w:rPr>
        <w:t>Triggered on every new incoming alert. Executes a hybrid search across the Experience Network using TF-IDF cosine similarity combined with SRE keyword boosting (HTTP 500, connection pool, OOMKilled, etc.) and service-name weighting. Simultaneously retrieves the Entity Summary, Evolving Beliefs, and World Facts for the affected service.</w:t>
      </w:r>
    </w:p>
    <w:p>
      <w:pPr>
        <w:spacing w:after="200"/>
        <w:ind w:left="576"/>
      </w:pPr>
      <w:r>
        <w:rPr>
          <w:i/>
          <w:color w:val="4B5563"/>
          <w:sz w:val="19"/>
        </w:rPr>
        <w:t>Returns: match_count, similarity_pct per match, top_match, entity_summary, beliefs, world_facts</w:t>
      </w:r>
    </w:p>
    <w:p>
      <w:pPr>
        <w:ind w:left="288"/>
      </w:pPr>
      <w:r>
        <w:rPr>
          <w:rFonts w:ascii="Courier New" w:hAnsi="Courier New"/>
          <w:b/>
          <w:color w:val="1E40AF"/>
          <w:sz w:val="22"/>
        </w:rPr>
        <w:t xml:space="preserve">reflect()  </w:t>
      </w:r>
    </w:p>
    <w:p>
      <w:pPr>
        <w:ind w:left="576"/>
      </w:pPr>
      <w:r>
        <w:rPr>
          <w:color w:val="1F2937"/>
          <w:sz w:val="20"/>
        </w:rPr>
        <w:t>Triggered after every post-mortem approval. Scans all experiences for the affected service and synthesises an updated Entity Summary (failure modes, preferred runbooks, MTTR statistics). Also checks for recurring patterns and strengthens the confidence score of relevant Evolving Beliefs.</w:t>
      </w:r>
    </w:p>
    <w:p>
      <w:pPr>
        <w:spacing w:after="200"/>
        <w:ind w:left="576"/>
      </w:pPr>
      <w:r>
        <w:rPr>
          <w:i/>
          <w:color w:val="4B5563"/>
          <w:sz w:val="19"/>
        </w:rPr>
        <w:t>Returns: updated entity profile, updated belief confidence scores</w:t>
      </w:r>
    </w:p>
    <w:p>
      <w:r>
        <w:br w:type="page"/>
      </w:r>
    </w:p>
    <w:p>
      <w:pPr>
        <w:pStyle w:val="Heading1"/>
        <w:spacing w:before="280" w:after="120"/>
      </w:pPr>
      <w:r>
        <w:rPr>
          <w:b/>
          <w:color w:val="1E3A5F"/>
        </w:rPr>
        <w:t>5.  System Architecture</w:t>
      </w:r>
    </w:p>
    <w:p>
      <w:pPr>
        <w:pStyle w:val="Heading2"/>
        <w:spacing w:before="280" w:after="120"/>
      </w:pPr>
      <w:r>
        <w:rPr>
          <w:b/>
          <w:color w:val="2563EB"/>
        </w:rPr>
        <w:t>5.1  High-Level Component Map</w:t>
      </w:r>
    </w:p>
    <w:p>
      <w:pPr>
        <w:spacing w:after="120"/>
      </w:pPr>
      <w:r>
        <w:rPr>
          <w:b w:val="0"/>
          <w:i w:val="0"/>
          <w:color w:val="1F2937"/>
          <w:sz w:val="21"/>
        </w:rPr>
        <w:t>SRE-Shield is structured as a clean, layered architecture with clear separation of concerns between the Ingestion layer, Security layer, AI Reasoning layer, Memory layer, Execution layer, and Presentation layer.</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E3A5F"/>
          </w:tcPr>
          <w:p>
            <w:r>
              <w:rPr>
                <w:b/>
                <w:color w:val="FFFFFF"/>
                <w:sz w:val="20"/>
              </w:rPr>
              <w:t>Layer</w:t>
            </w:r>
          </w:p>
        </w:tc>
        <w:tc>
          <w:tcPr>
            <w:tcW w:type="dxa" w:w="4703"/>
            <w:shd w:val="clear" w:color="auto" w:fill="1E3A5F"/>
          </w:tcPr>
          <w:p>
            <w:r>
              <w:rPr>
                <w:b/>
                <w:color w:val="FFFFFF"/>
                <w:sz w:val="20"/>
              </w:rPr>
              <w:t>Components &amp; Responsibilities</w:t>
            </w:r>
          </w:p>
        </w:tc>
      </w:tr>
      <w:tr>
        <w:tc>
          <w:tcPr>
            <w:tcW w:type="dxa" w:w="4703"/>
          </w:tcPr>
          <w:p>
            <w:r>
              <w:rPr>
                <w:b/>
                <w:color w:val="1E3A5F"/>
                <w:sz w:val="19"/>
              </w:rPr>
              <w:t>Alert Ingestion Layer</w:t>
            </w:r>
          </w:p>
        </w:tc>
        <w:tc>
          <w:tcPr>
            <w:tcW w:type="dxa" w:w="4703"/>
          </w:tcPr>
          <w:p>
            <w:r>
              <w:rPr>
                <w:sz w:val="19"/>
              </w:rPr>
              <w:t>FastAPI REST endpoint (/api/incidents) receives alerts from monitoring systems or manual entry. Normalises and timestamps the alert payload.</w:t>
            </w:r>
          </w:p>
        </w:tc>
      </w:tr>
      <w:tr>
        <w:tc>
          <w:tcPr>
            <w:tcW w:type="dxa" w:w="4703"/>
          </w:tcPr>
          <w:p>
            <w:r>
              <w:rPr>
                <w:b/>
                <w:color w:val="1E3A5F"/>
                <w:sz w:val="19"/>
              </w:rPr>
              <w:t>Memory Defense Layer</w:t>
            </w:r>
          </w:p>
        </w:tc>
        <w:tc>
          <w:tcPr>
            <w:tcW w:type="dxa" w:w="4703"/>
          </w:tcPr>
          <w:p>
            <w:r>
              <w:rPr>
                <w:sz w:val="19"/>
              </w:rPr>
              <w:t>Regex-based sanitizer scans error messages, logs, and deployment info for passwords, API keys, JWTs, AWS credentials, private keys, and PII. Replaces with [REDACTED_*] tokens before any downstream processing.</w:t>
            </w:r>
          </w:p>
        </w:tc>
      </w:tr>
      <w:tr>
        <w:tc>
          <w:tcPr>
            <w:tcW w:type="dxa" w:w="4703"/>
          </w:tcPr>
          <w:p>
            <w:r>
              <w:rPr>
                <w:b/>
                <w:color w:val="1E3A5F"/>
                <w:sz w:val="19"/>
              </w:rPr>
              <w:t>Hindsight Memory Layer (recall)</w:t>
            </w:r>
          </w:p>
        </w:tc>
        <w:tc>
          <w:tcPr>
            <w:tcW w:type="dxa" w:w="4703"/>
          </w:tcPr>
          <w:p>
            <w:r>
              <w:rPr>
                <w:sz w:val="19"/>
              </w:rPr>
              <w:t>Executes hybrid search across the 4-network memory bank. Returns ranked similar past experiences, the entity profile, relevant beliefs, and architecture facts for the affected service.</w:t>
            </w:r>
          </w:p>
        </w:tc>
      </w:tr>
      <w:tr>
        <w:tc>
          <w:tcPr>
            <w:tcW w:type="dxa" w:w="4703"/>
          </w:tcPr>
          <w:p>
            <w:r>
              <w:rPr>
                <w:b/>
                <w:color w:val="1E3A5F"/>
                <w:sz w:val="19"/>
              </w:rPr>
              <w:t>AI Reasoning Layer</w:t>
            </w:r>
          </w:p>
        </w:tc>
        <w:tc>
          <w:tcPr>
            <w:tcW w:type="dxa" w:w="4703"/>
          </w:tcPr>
          <w:p>
            <w:r>
              <w:rPr>
                <w:sz w:val="19"/>
              </w:rPr>
              <w:t>Groq LLM (llama-3.3-70b-versatile) receives the sanitized alert plus the full Hindsight memory context and generates a structured JSON diagnosis: root cause, confidence score, reasoning explanation, recommended runbook, suggested command, and risk level. A resilient local SRE Heuristic Engine provides identical output when offline.</w:t>
            </w:r>
          </w:p>
        </w:tc>
      </w:tr>
      <w:tr>
        <w:tc>
          <w:tcPr>
            <w:tcW w:type="dxa" w:w="4703"/>
          </w:tcPr>
          <w:p>
            <w:r>
              <w:rPr>
                <w:b/>
                <w:color w:val="1E3A5F"/>
                <w:sz w:val="19"/>
              </w:rPr>
              <w:t>Dual Diagnosis Engine</w:t>
            </w:r>
          </w:p>
        </w:tc>
        <w:tc>
          <w:tcPr>
            <w:tcW w:type="dxa" w:w="4703"/>
          </w:tcPr>
          <w:p>
            <w:r>
              <w:rPr>
                <w:sz w:val="19"/>
              </w:rPr>
              <w:t>Simultaneously generates a second stateless diagnosis (no memory context) to produce the side-by-side with/without memory comparison shown in the dashboard.</w:t>
            </w:r>
          </w:p>
        </w:tc>
      </w:tr>
      <w:tr>
        <w:tc>
          <w:tcPr>
            <w:tcW w:type="dxa" w:w="4703"/>
          </w:tcPr>
          <w:p>
            <w:r>
              <w:rPr>
                <w:b/>
                <w:color w:val="1E3A5F"/>
                <w:sz w:val="19"/>
              </w:rPr>
              <w:t>Runbook Recommendation Engine</w:t>
            </w:r>
          </w:p>
        </w:tc>
        <w:tc>
          <w:tcPr>
            <w:tcW w:type="dxa" w:w="4703"/>
          </w:tcPr>
          <w:p>
            <w:r>
              <w:rPr>
                <w:sz w:val="19"/>
              </w:rPr>
              <w:t>Maps AI diagnosis to the closest matching Standard Operating Procedure from the runbook catalog. Enriches recommendation with investigation steps, resolution steps, CLI commands, and historical success rates.</w:t>
            </w:r>
          </w:p>
        </w:tc>
      </w:tr>
      <w:tr>
        <w:tc>
          <w:tcPr>
            <w:tcW w:type="dxa" w:w="4703"/>
          </w:tcPr>
          <w:p>
            <w:r>
              <w:rPr>
                <w:b/>
                <w:color w:val="1E3A5F"/>
                <w:sz w:val="19"/>
              </w:rPr>
              <w:t>Human-in-the-Loop Gate</w:t>
            </w:r>
          </w:p>
        </w:tc>
        <w:tc>
          <w:tcPr>
            <w:tcW w:type="dxa" w:w="4703"/>
          </w:tcPr>
          <w:p>
            <w:r>
              <w:rPr>
                <w:sz w:val="19"/>
              </w:rPr>
              <w:t>Engineer reviews: risk level (LOW / MEDIUM / HIGH), AI reasoning explanation, proposed CLI command (editable), and runbook reference. Must explicitly click Approve, Modify, or Reject. No command executes without approval.</w:t>
            </w:r>
          </w:p>
        </w:tc>
      </w:tr>
      <w:tr>
        <w:tc>
          <w:tcPr>
            <w:tcW w:type="dxa" w:w="4703"/>
          </w:tcPr>
          <w:p>
            <w:r>
              <w:rPr>
                <w:b/>
                <w:color w:val="1E3A5F"/>
                <w:sz w:val="19"/>
              </w:rPr>
              <w:t>Safe Execution Engine</w:t>
            </w:r>
          </w:p>
        </w:tc>
        <w:tc>
          <w:tcPr>
            <w:tcW w:type="dxa" w:w="4703"/>
          </w:tcPr>
          <w:p>
            <w:r>
              <w:rPr>
                <w:sz w:val="19"/>
              </w:rPr>
              <w:t>Runs approved command in SIMULATION MODE, generating realistic cluster output (kubectl rollout status, Redis CONFIG SET responses, AWS volume resize). Logs the approved action to the immutable audit trail.</w:t>
            </w:r>
          </w:p>
        </w:tc>
      </w:tr>
      <w:tr>
        <w:tc>
          <w:tcPr>
            <w:tcW w:type="dxa" w:w="4703"/>
          </w:tcPr>
          <w:p>
            <w:r>
              <w:rPr>
                <w:b/>
                <w:color w:val="1E3A5F"/>
                <w:sz w:val="19"/>
              </w:rPr>
              <w:t>Automated Verification Engine</w:t>
            </w:r>
          </w:p>
        </w:tc>
        <w:tc>
          <w:tcPr>
            <w:tcW w:type="dxa" w:w="4703"/>
          </w:tcPr>
          <w:p>
            <w:r>
              <w:rPr>
                <w:sz w:val="19"/>
              </w:rPr>
              <w:t>After execution, probes the service /healthz endpoint, checks error rate telemetry, and evaluates whether PASS or FAIL criteria are met. Updates incident status to RESOLVED or returns to INVESTIGATING.</w:t>
            </w:r>
          </w:p>
        </w:tc>
      </w:tr>
      <w:tr>
        <w:tc>
          <w:tcPr>
            <w:tcW w:type="dxa" w:w="4703"/>
          </w:tcPr>
          <w:p>
            <w:r>
              <w:rPr>
                <w:b/>
                <w:color w:val="1E3A5F"/>
                <w:sz w:val="19"/>
              </w:rPr>
              <w:t>Post-Mortem Agent</w:t>
            </w:r>
          </w:p>
        </w:tc>
        <w:tc>
          <w:tcPr>
            <w:tcW w:type="dxa" w:w="4703"/>
          </w:tcPr>
          <w:p>
            <w:r>
              <w:rPr>
                <w:sz w:val="19"/>
              </w:rPr>
              <w:t>Generates a structured blameless post-mortem from incident data using Groq LLM. Engineer reviews and edits the draft. On approval, calls hindsight.retain() to persist the new resolution into the Experience Network.</w:t>
            </w:r>
          </w:p>
        </w:tc>
      </w:tr>
      <w:tr>
        <w:tc>
          <w:tcPr>
            <w:tcW w:type="dxa" w:w="4703"/>
          </w:tcPr>
          <w:p>
            <w:r>
              <w:rPr>
                <w:b/>
                <w:color w:val="1E3A5F"/>
                <w:sz w:val="19"/>
              </w:rPr>
              <w:t>Hindsight Reflect Trigger</w:t>
            </w:r>
          </w:p>
        </w:tc>
        <w:tc>
          <w:tcPr>
            <w:tcW w:type="dxa" w:w="4703"/>
          </w:tcPr>
          <w:p>
            <w:r>
              <w:rPr>
                <w:sz w:val="19"/>
              </w:rPr>
              <w:t>Post-mortem approval triggers hindsight.reflect() which synthesises the new experience into updated Entity Summaries and reinforces relevant Evolving Beliefs — completing the learning loop.</w:t>
            </w:r>
          </w:p>
        </w:tc>
      </w:tr>
      <w:tr>
        <w:tc>
          <w:tcPr>
            <w:tcW w:type="dxa" w:w="4703"/>
          </w:tcPr>
          <w:p>
            <w:r>
              <w:rPr>
                <w:b/>
                <w:color w:val="1E3A5F"/>
                <w:sz w:val="19"/>
              </w:rPr>
              <w:t>Streamlit Frontend</w:t>
            </w:r>
          </w:p>
        </w:tc>
        <w:tc>
          <w:tcPr>
            <w:tcW w:type="dxa" w:w="4703"/>
          </w:tcPr>
          <w:p>
            <w:r>
              <w:rPr>
                <w:sz w:val="19"/>
              </w:rPr>
              <w:t>Professional dark-themed enterprise SRE dashboard rendering all 9 pages: Executive Dashboard, Incident Center, Human Approval, Post-Mortem, Hindsight Memory Inspector, Runbook Catalog, Incident History, SRE Copilot, and Analytics.</w:t>
            </w:r>
          </w:p>
        </w:tc>
      </w:tr>
    </w:tbl>
    <w:p/>
    <w:p>
      <w:r>
        <w:br w:type="page"/>
      </w:r>
    </w:p>
    <w:p>
      <w:pPr>
        <w:pStyle w:val="Heading1"/>
        <w:spacing w:before="280" w:after="120"/>
      </w:pPr>
      <w:r>
        <w:rPr>
          <w:b/>
          <w:color w:val="1E3A5F"/>
        </w:rPr>
        <w:t>6.  End-to-End Incident Resolution Flow</w:t>
      </w:r>
    </w:p>
    <w:p>
      <w:pPr>
        <w:spacing w:after="120"/>
      </w:pPr>
      <w:r>
        <w:rPr>
          <w:b w:val="0"/>
          <w:i w:val="0"/>
          <w:color w:val="1F2937"/>
          <w:sz w:val="21"/>
        </w:rPr>
        <w:t>The following describes the complete lifecycle of a production incident through SRE-Shield from the moment an alert fires to the moment the learning is stored for future incidents.</w:t>
      </w:r>
    </w:p>
    <w:tbl>
      <w:tblPr>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1E3A5F"/>
            <w:tcBorders>
              <w:top w:val="single" w:sz="6" w:space="0" w:color="94A3B8"/>
              <w:left w:val="single" w:sz="6" w:space="0" w:color="94A3B8"/>
              <w:bottom w:val="single" w:sz="6" w:space="0" w:color="94A3B8"/>
              <w:right w:val="single" w:sz="6" w:space="0" w:color="94A3B8"/>
            </w:tcBorders>
            <w:vAlign w:val="center"/>
          </w:tcPr>
          <w:p>
            <w:pPr>
              <w:jc w:val="center"/>
            </w:pPr>
            <w:r>
              <w:rPr>
                <w:b/>
                <w:color w:val="FFFFFF"/>
                <w:sz w:val="17"/>
              </w:rPr>
              <w:t>Step 1</w:t>
              <w:br/>
              <w:t>Alert Ingestion</w:t>
            </w:r>
          </w:p>
          <w:p>
            <w:pPr>
              <w:jc w:val="center"/>
            </w:pPr>
            <w:r>
              <w:rPr>
                <w:color w:val="E2E8F0"/>
                <w:sz w:val="15"/>
              </w:rPr>
              <w:t>POST /api/incidents</w:t>
            </w:r>
          </w:p>
        </w:tc>
        <w:tc>
          <w:tcPr>
            <w:tcW w:type="dxa" w:w="941"/>
            <w:shd w:val="clear" w:color="auto" w:fill="7C2D12"/>
            <w:tcBorders>
              <w:top w:val="single" w:sz="6" w:space="0" w:color="94A3B8"/>
              <w:left w:val="single" w:sz="6" w:space="0" w:color="94A3B8"/>
              <w:bottom w:val="single" w:sz="6" w:space="0" w:color="94A3B8"/>
              <w:right w:val="single" w:sz="6" w:space="0" w:color="94A3B8"/>
            </w:tcBorders>
            <w:vAlign w:val="center"/>
          </w:tcPr>
          <w:p>
            <w:pPr>
              <w:jc w:val="center"/>
            </w:pPr>
            <w:r>
              <w:rPr>
                <w:b/>
                <w:color w:val="FFFFFF"/>
                <w:sz w:val="17"/>
              </w:rPr>
              <w:t>Step 2</w:t>
              <w:br/>
              <w:t>Memory Defense</w:t>
            </w:r>
          </w:p>
          <w:p>
            <w:pPr>
              <w:jc w:val="center"/>
            </w:pPr>
            <w:r>
              <w:rPr>
                <w:color w:val="E2E8F0"/>
                <w:sz w:val="15"/>
              </w:rPr>
              <w:t>Secrets Redacted</w:t>
            </w:r>
          </w:p>
        </w:tc>
        <w:tc>
          <w:tcPr>
            <w:tcW w:type="dxa" w:w="941"/>
            <w:shd w:val="clear" w:color="auto" w:fill="064E3B"/>
            <w:tcBorders>
              <w:top w:val="single" w:sz="6" w:space="0" w:color="94A3B8"/>
              <w:left w:val="single" w:sz="6" w:space="0" w:color="94A3B8"/>
              <w:bottom w:val="single" w:sz="6" w:space="0" w:color="94A3B8"/>
              <w:right w:val="single" w:sz="6" w:space="0" w:color="94A3B8"/>
            </w:tcBorders>
            <w:vAlign w:val="center"/>
          </w:tcPr>
          <w:p>
            <w:pPr>
              <w:jc w:val="center"/>
            </w:pPr>
            <w:r>
              <w:rPr>
                <w:b/>
                <w:color w:val="FFFFFF"/>
                <w:sz w:val="17"/>
              </w:rPr>
              <w:t>Step 3</w:t>
              <w:br/>
              <w:t>Hindsight Recall</w:t>
            </w:r>
          </w:p>
          <w:p>
            <w:pPr>
              <w:jc w:val="center"/>
            </w:pPr>
            <w:r>
              <w:rPr>
                <w:color w:val="E2E8F0"/>
                <w:sz w:val="15"/>
              </w:rPr>
              <w:t>4-Network Query</w:t>
            </w:r>
          </w:p>
        </w:tc>
        <w:tc>
          <w:tcPr>
            <w:tcW w:type="dxa" w:w="941"/>
            <w:shd w:val="clear" w:color="auto" w:fill="1E40AF"/>
            <w:tcBorders>
              <w:top w:val="single" w:sz="6" w:space="0" w:color="94A3B8"/>
              <w:left w:val="single" w:sz="6" w:space="0" w:color="94A3B8"/>
              <w:bottom w:val="single" w:sz="6" w:space="0" w:color="94A3B8"/>
              <w:right w:val="single" w:sz="6" w:space="0" w:color="94A3B8"/>
            </w:tcBorders>
            <w:vAlign w:val="center"/>
          </w:tcPr>
          <w:p>
            <w:pPr>
              <w:jc w:val="center"/>
            </w:pPr>
            <w:r>
              <w:rPr>
                <w:b/>
                <w:color w:val="FFFFFF"/>
                <w:sz w:val="17"/>
              </w:rPr>
              <w:t>Step 4</w:t>
              <w:br/>
              <w:t>AI Diagnosis</w:t>
            </w:r>
          </w:p>
          <w:p>
            <w:pPr>
              <w:jc w:val="center"/>
            </w:pPr>
            <w:r>
              <w:rPr>
                <w:color w:val="E2E8F0"/>
                <w:sz w:val="15"/>
              </w:rPr>
              <w:t>Groq LLM + Heuristic</w:t>
            </w:r>
          </w:p>
        </w:tc>
        <w:tc>
          <w:tcPr>
            <w:tcW w:type="dxa" w:w="941"/>
            <w:shd w:val="clear" w:color="auto" w:fill="4338CA"/>
            <w:tcBorders>
              <w:top w:val="single" w:sz="6" w:space="0" w:color="94A3B8"/>
              <w:left w:val="single" w:sz="6" w:space="0" w:color="94A3B8"/>
              <w:bottom w:val="single" w:sz="6" w:space="0" w:color="94A3B8"/>
              <w:right w:val="single" w:sz="6" w:space="0" w:color="94A3B8"/>
            </w:tcBorders>
            <w:vAlign w:val="center"/>
          </w:tcPr>
          <w:p>
            <w:pPr>
              <w:jc w:val="center"/>
            </w:pPr>
            <w:r>
              <w:rPr>
                <w:b/>
                <w:color w:val="FFFFFF"/>
                <w:sz w:val="17"/>
              </w:rPr>
              <w:t>Step 5</w:t>
              <w:br/>
              <w:t>Runbook Match</w:t>
            </w:r>
          </w:p>
          <w:p>
            <w:pPr>
              <w:jc w:val="center"/>
            </w:pPr>
            <w:r>
              <w:rPr>
                <w:color w:val="E2E8F0"/>
                <w:sz w:val="15"/>
              </w:rPr>
              <w:t>Ranked by history</w:t>
            </w:r>
          </w:p>
        </w:tc>
        <w:tc>
          <w:tcPr>
            <w:tcW w:type="dxa" w:w="941"/>
            <w:shd w:val="clear" w:color="auto" w:fill="92400E"/>
            <w:tcBorders>
              <w:top w:val="single" w:sz="6" w:space="0" w:color="94A3B8"/>
              <w:left w:val="single" w:sz="6" w:space="0" w:color="94A3B8"/>
              <w:bottom w:val="single" w:sz="6" w:space="0" w:color="94A3B8"/>
              <w:right w:val="single" w:sz="6" w:space="0" w:color="94A3B8"/>
            </w:tcBorders>
            <w:vAlign w:val="center"/>
          </w:tcPr>
          <w:p>
            <w:pPr>
              <w:jc w:val="center"/>
            </w:pPr>
            <w:r>
              <w:rPr>
                <w:b/>
                <w:color w:val="FFFFFF"/>
                <w:sz w:val="17"/>
              </w:rPr>
              <w:t>Step 6</w:t>
              <w:br/>
              <w:t>Human Approval</w:t>
            </w:r>
          </w:p>
          <w:p>
            <w:pPr>
              <w:jc w:val="center"/>
            </w:pPr>
            <w:r>
              <w:rPr>
                <w:color w:val="E2E8F0"/>
                <w:sz w:val="15"/>
              </w:rPr>
              <w:t>Review &amp; Authorize</w:t>
            </w:r>
          </w:p>
        </w:tc>
        <w:tc>
          <w:tcPr>
            <w:tcW w:type="dxa" w:w="941"/>
            <w:shd w:val="clear" w:color="auto" w:fill="134E4A"/>
            <w:tcBorders>
              <w:top w:val="single" w:sz="6" w:space="0" w:color="94A3B8"/>
              <w:left w:val="single" w:sz="6" w:space="0" w:color="94A3B8"/>
              <w:bottom w:val="single" w:sz="6" w:space="0" w:color="94A3B8"/>
              <w:right w:val="single" w:sz="6" w:space="0" w:color="94A3B8"/>
            </w:tcBorders>
            <w:vAlign w:val="center"/>
          </w:tcPr>
          <w:p>
            <w:pPr>
              <w:jc w:val="center"/>
            </w:pPr>
            <w:r>
              <w:rPr>
                <w:b/>
                <w:color w:val="FFFFFF"/>
                <w:sz w:val="17"/>
              </w:rPr>
              <w:t>Step 7</w:t>
              <w:br/>
              <w:t>Safe Execution</w:t>
            </w:r>
          </w:p>
          <w:p>
            <w:pPr>
              <w:jc w:val="center"/>
            </w:pPr>
            <w:r>
              <w:rPr>
                <w:color w:val="E2E8F0"/>
                <w:sz w:val="15"/>
              </w:rPr>
              <w:t>SIMULATION MODE</w:t>
            </w:r>
          </w:p>
        </w:tc>
        <w:tc>
          <w:tcPr>
            <w:tcW w:type="dxa" w:w="941"/>
            <w:shd w:val="clear" w:color="auto" w:fill="1A2E05"/>
            <w:tcBorders>
              <w:top w:val="single" w:sz="6" w:space="0" w:color="94A3B8"/>
              <w:left w:val="single" w:sz="6" w:space="0" w:color="94A3B8"/>
              <w:bottom w:val="single" w:sz="6" w:space="0" w:color="94A3B8"/>
              <w:right w:val="single" w:sz="6" w:space="0" w:color="94A3B8"/>
            </w:tcBorders>
            <w:vAlign w:val="center"/>
          </w:tcPr>
          <w:p>
            <w:pPr>
              <w:jc w:val="center"/>
            </w:pPr>
            <w:r>
              <w:rPr>
                <w:b/>
                <w:color w:val="FFFFFF"/>
                <w:sz w:val="17"/>
              </w:rPr>
              <w:t>Step 8</w:t>
              <w:br/>
              <w:t>Verification</w:t>
            </w:r>
          </w:p>
          <w:p>
            <w:pPr>
              <w:jc w:val="center"/>
            </w:pPr>
            <w:r>
              <w:rPr>
                <w:color w:val="E2E8F0"/>
                <w:sz w:val="15"/>
              </w:rPr>
              <w:t>Health Probe</w:t>
            </w:r>
          </w:p>
        </w:tc>
        <w:tc>
          <w:tcPr>
            <w:tcW w:type="dxa" w:w="941"/>
            <w:shd w:val="clear" w:color="auto" w:fill="3B0764"/>
            <w:tcBorders>
              <w:top w:val="single" w:sz="6" w:space="0" w:color="94A3B8"/>
              <w:left w:val="single" w:sz="6" w:space="0" w:color="94A3B8"/>
              <w:bottom w:val="single" w:sz="6" w:space="0" w:color="94A3B8"/>
              <w:right w:val="single" w:sz="6" w:space="0" w:color="94A3B8"/>
            </w:tcBorders>
            <w:vAlign w:val="center"/>
          </w:tcPr>
          <w:p>
            <w:pPr>
              <w:jc w:val="center"/>
            </w:pPr>
            <w:r>
              <w:rPr>
                <w:b/>
                <w:color w:val="FFFFFF"/>
                <w:sz w:val="17"/>
              </w:rPr>
              <w:t>Step 9</w:t>
              <w:br/>
              <w:t>Post-Mortem</w:t>
            </w:r>
          </w:p>
          <w:p>
            <w:pPr>
              <w:jc w:val="center"/>
            </w:pPr>
            <w:r>
              <w:rPr>
                <w:color w:val="E2E8F0"/>
                <w:sz w:val="15"/>
              </w:rPr>
              <w:t>AI Draft</w:t>
            </w:r>
          </w:p>
        </w:tc>
        <w:tc>
          <w:tcPr>
            <w:tcW w:type="dxa" w:w="941"/>
            <w:shd w:val="clear" w:color="auto" w:fill="1C1917"/>
            <w:tcBorders>
              <w:top w:val="single" w:sz="6" w:space="0" w:color="94A3B8"/>
              <w:left w:val="single" w:sz="6" w:space="0" w:color="94A3B8"/>
              <w:bottom w:val="single" w:sz="6" w:space="0" w:color="94A3B8"/>
              <w:right w:val="single" w:sz="6" w:space="0" w:color="94A3B8"/>
            </w:tcBorders>
            <w:vAlign w:val="center"/>
          </w:tcPr>
          <w:p>
            <w:pPr>
              <w:jc w:val="center"/>
            </w:pPr>
            <w:r>
              <w:rPr>
                <w:b/>
                <w:color w:val="FFFFFF"/>
                <w:sz w:val="17"/>
              </w:rPr>
              <w:t>Step 10</w:t>
              <w:br/>
              <w:t>Retain &amp; Reflect</w:t>
            </w:r>
          </w:p>
          <w:p>
            <w:pPr>
              <w:jc w:val="center"/>
            </w:pPr>
            <w:r>
              <w:rPr>
                <w:color w:val="E2E8F0"/>
                <w:sz w:val="15"/>
              </w:rPr>
              <w:t>Hindsight Update</w:t>
            </w:r>
          </w:p>
        </w:tc>
      </w:tr>
    </w:tbl>
    <w:p/>
    <w:p>
      <w:pPr>
        <w:pStyle w:val="Heading2"/>
        <w:spacing w:before="280" w:after="120"/>
      </w:pPr>
      <w:r>
        <w:rPr>
          <w:b/>
          <w:color w:val="1E3A5F"/>
        </w:rPr>
        <w:t>Step 1: Alert Ingestion</w:t>
      </w:r>
    </w:p>
    <w:p>
      <w:pPr>
        <w:spacing w:after="120"/>
      </w:pPr>
      <w:r>
        <w:rPr>
          <w:b w:val="0"/>
          <w:i w:val="0"/>
          <w:color w:val="1F2937"/>
          <w:sz w:val="20"/>
        </w:rPr>
        <w:t>A production monitoring system (PagerDuty, Prometheus AlertManager, or manual entry) sends an HTTP POST request to /api/incidents containing: service name, severity, error message, raw log lines, and recent deployment information. FastAPI validates the payload via Pydantic models and assigns a unique incident ID (e.g. INC-A3F7B1).</w:t>
      </w:r>
    </w:p>
    <w:p>
      <w:pPr>
        <w:pStyle w:val="Heading2"/>
        <w:spacing w:before="280" w:after="120"/>
      </w:pPr>
      <w:r>
        <w:rPr>
          <w:b/>
          <w:color w:val="1E3A5F"/>
        </w:rPr>
        <w:t>Step 2: Memory Defense Sanitization</w:t>
      </w:r>
    </w:p>
    <w:p>
      <w:pPr>
        <w:spacing w:after="120"/>
      </w:pPr>
      <w:r>
        <w:rPr>
          <w:b w:val="0"/>
          <w:i w:val="0"/>
          <w:color w:val="1F2937"/>
          <w:sz w:val="20"/>
        </w:rPr>
        <w:t>Before any data is processed, the Memory Defense Sanitizer scans all text fields for:</w:t>
        <w:br/>
        <w:t xml:space="preserve">  •  Passwords and secrets in key=value format (password=..., api_secret=...)</w:t>
        <w:br/>
        <w:t xml:space="preserve">  •  Bearer tokens and JWT strings</w:t>
        <w:br/>
        <w:t xml:space="preserve">  •  Groq, OpenAI, and GitHub API key prefixes (gsk_..., sk-..., ghp_...)</w:t>
        <w:br/>
        <w:t xml:space="preserve">  •  AWS Access Key IDs (AKIA...)</w:t>
        <w:br/>
        <w:t xml:space="preserve">  •  PEM private key blocks</w:t>
        <w:br/>
        <w:t xml:space="preserve">  •  Database connection strings with embedded credentials</w:t>
        <w:br/>
        <w:t xml:space="preserve">  •  Email addresses (PII)</w:t>
        <w:br/>
        <w:t>All matches are replaced with [REDACTED_SECRET], [REDACTED_JWT_TOKEN], etc. A sanitization report is returned and displayed in the dashboard. The engineer is informed exactly how many sensitive tokens were intercepted.</w:t>
      </w:r>
    </w:p>
    <w:p>
      <w:pPr>
        <w:pStyle w:val="Heading2"/>
        <w:spacing w:before="280" w:after="120"/>
      </w:pPr>
      <w:r>
        <w:rPr>
          <w:b/>
          <w:color w:val="1E3A5F"/>
        </w:rPr>
        <w:t>Step 3: Hindsight Memory Recall</w:t>
      </w:r>
    </w:p>
    <w:p>
      <w:pPr>
        <w:spacing w:after="120"/>
      </w:pPr>
      <w:r>
        <w:rPr>
          <w:b w:val="0"/>
          <w:i w:val="0"/>
          <w:color w:val="1F2937"/>
          <w:sz w:val="20"/>
        </w:rPr>
        <w:t>The sanitized alert triggers hindsight.recall() across all 4 networks:</w:t>
        <w:br/>
        <w:t xml:space="preserve">  •  Experience Network: Hybrid TF-IDF vector similarity + SRE keyword boost retrieves the top 3 most similar past incidents, ranked by similarity score.</w:t>
        <w:br/>
        <w:t xml:space="preserve">  •  Entity Summary: The rolling profile for the affected service is retrieved (known failure modes, preferred runbooks, average MTTR).</w:t>
        <w:br/>
        <w:t xml:space="preserve">  •  Evolving Beliefs: The top confidence-rated operational beliefs are retrieved.</w:t>
        <w:br/>
        <w:t xml:space="preserve">  •  World Network: Architecture constraints for the service are retrieved.</w:t>
        <w:br/>
        <w:t>Recall counts are incremented on matching experiences, providing usage analytics.</w:t>
      </w:r>
    </w:p>
    <w:p>
      <w:pPr>
        <w:pStyle w:val="Heading2"/>
        <w:spacing w:before="280" w:after="120"/>
      </w:pPr>
      <w:r>
        <w:rPr>
          <w:b/>
          <w:color w:val="1E3A5F"/>
        </w:rPr>
        <w:t>Step 4: Dual AI Diagnosis</w:t>
      </w:r>
    </w:p>
    <w:p>
      <w:pPr>
        <w:spacing w:after="120"/>
      </w:pPr>
      <w:r>
        <w:rPr>
          <w:b w:val="0"/>
          <w:i w:val="0"/>
          <w:color w:val="1F2937"/>
          <w:sz w:val="20"/>
        </w:rPr>
        <w:t>Two independent diagnoses are generated in parallel:</w:t>
        <w:br/>
        <w:br/>
        <w:t xml:space="preserve">  Memory-Augmented Diagnosis (With Hindsight):</w:t>
        <w:br/>
        <w:t xml:space="preserve">  The Groq LLM receives the sanitized alert plus the full Hindsight context (top matches, entity profile, beliefs, world facts). The model is prompted as a Principal SRE with long-term memory and produces a structured JSON diagnosis with confidence score, root cause, recommended runbook, CLI command, and risk rating.</w:t>
        <w:br/>
        <w:br/>
        <w:t xml:space="preserve">  Stateless Baseline Diagnosis (Without Memory):</w:t>
        <w:br/>
        <w:t xml:space="preserve">  The same alert is sent to a separate prompt with no context — simulating a generic AI chatbot. The model produces a low-confidence generic response. Both outputs are displayed side-by-side in the dashboard to demonstrate the memory advantage.</w:t>
        <w:br/>
        <w:br/>
        <w:t xml:space="preserve">  Resilient Fallback:</w:t>
        <w:br/>
        <w:t xml:space="preserve">  If the Groq API is unavailable, an intelligent SRE Heuristic Engine provides equivalent structured output based on pattern matching — ensuring 100% uptime.</w:t>
      </w:r>
    </w:p>
    <w:p>
      <w:pPr>
        <w:pStyle w:val="Heading2"/>
        <w:spacing w:before="280" w:after="120"/>
      </w:pPr>
      <w:r>
        <w:rPr>
          <w:b/>
          <w:color w:val="1E3A5F"/>
        </w:rPr>
        <w:t>Step 5: Runbook Recommendation</w:t>
      </w:r>
    </w:p>
    <w:p>
      <w:pPr>
        <w:spacing w:after="120"/>
      </w:pPr>
      <w:r>
        <w:rPr>
          <w:b w:val="0"/>
          <w:i w:val="0"/>
          <w:color w:val="1F2937"/>
          <w:sz w:val="20"/>
        </w:rPr>
        <w:t>The AI diagnosis includes a recommended_runbook_id (e.g. DB-CONNECTION-001). SRE-Shield retrieves the full runbook from the catalog including investigation steps, resolution procedures, CLI command snippets with risk ratings, and historical success/failure statistics. The recommendation is displayed alongside the reasoning explanation from Hindsight memory.</w:t>
      </w:r>
    </w:p>
    <w:p>
      <w:pPr>
        <w:pStyle w:val="Heading2"/>
        <w:spacing w:before="280" w:after="120"/>
      </w:pPr>
      <w:r>
        <w:rPr>
          <w:b/>
          <w:color w:val="1E3A5F"/>
        </w:rPr>
        <w:t>Step 6: Human-in-the-Loop Approval</w:t>
      </w:r>
    </w:p>
    <w:p>
      <w:pPr>
        <w:spacing w:after="120"/>
      </w:pPr>
      <w:r>
        <w:rPr>
          <w:b w:val="0"/>
          <w:i w:val="0"/>
          <w:color w:val="1F2937"/>
          <w:sz w:val="20"/>
        </w:rPr>
        <w:t>The engineer reviews:</w:t>
        <w:br/>
        <w:t xml:space="preserve">  •  The diagnosed root cause and confidence score</w:t>
        <w:br/>
        <w:t xml:space="preserve">  •  The referenced historical incident(s) that grounded the diagnosis</w:t>
        <w:br/>
        <w:t xml:space="preserve">  •  The proposed CLI command (fully editable in a text area)</w:t>
        <w:br/>
        <w:t xml:space="preserve">  •  The risk level badge (LOW / MEDIUM / HIGH)</w:t>
        <w:br/>
        <w:t xml:space="preserve">  •  The reasoning explanation from Hindsight Recall</w:t>
        <w:br/>
        <w:br/>
        <w:t>The engineer then chooses:</w:t>
        <w:br/>
        <w:t xml:space="preserve">  •  Approve &amp; Execute — runs the command exactly as proposed</w:t>
        <w:br/>
        <w:t xml:space="preserve">  •  Modify &amp; Execute — runs the edited command</w:t>
        <w:br/>
        <w:t xml:space="preserve">  •  Reject — marks the action rejected and keeps the incident in INVESTIGATING state</w:t>
        <w:br/>
        <w:br/>
        <w:t>The approval event, engineer name, and timestamp are recorded in the immutable audit log.</w:t>
      </w:r>
    </w:p>
    <w:p>
      <w:pPr>
        <w:pStyle w:val="Heading2"/>
        <w:spacing w:before="280" w:after="120"/>
      </w:pPr>
      <w:r>
        <w:rPr>
          <w:b/>
          <w:color w:val="1E3A5F"/>
        </w:rPr>
        <w:t>Step 7: Safe Execution in SIMULATION MODE</w:t>
      </w:r>
    </w:p>
    <w:p>
      <w:pPr>
        <w:spacing w:after="120"/>
      </w:pPr>
      <w:r>
        <w:rPr>
          <w:b w:val="0"/>
          <w:i w:val="0"/>
          <w:color w:val="1F2937"/>
          <w:sz w:val="20"/>
        </w:rPr>
        <w:t>The approved command is passed to the SafeExecutionEngine. SRE-Shield does NOT connect to a real Kubernetes cluster during the hackathon demo. Instead, the engine pattern-matches the command type and generates realistic, authentic-looking execution output:</w:t>
        <w:br/>
        <w:t xml:space="preserve">  •  kubectl rollout restart → pod rolling update progress with replica counts</w:t>
        <w:br/>
        <w:t xml:space="preserve">  •  kubectl scale → deployment scaling confirmation</w:t>
        <w:br/>
        <w:t xml:space="preserve">  •  redis-cli CONFIG SET → Redis OK responses with memory stats</w:t>
        <w:br/>
        <w:t xml:space="preserve">  •  kubectl rollout undo → rollback success confirmation</w:t>
        <w:br/>
        <w:t>All output is labelled [SIMULATION MODE] to maintain clear transparency. The execution result and engineer approval are permanently stored in the audit trail.</w:t>
      </w:r>
    </w:p>
    <w:p>
      <w:pPr>
        <w:pStyle w:val="Heading2"/>
        <w:spacing w:before="280" w:after="120"/>
      </w:pPr>
      <w:r>
        <w:rPr>
          <w:b/>
          <w:color w:val="1E3A5F"/>
        </w:rPr>
        <w:t>Step 8: Automated Verification</w:t>
      </w:r>
    </w:p>
    <w:p>
      <w:pPr>
        <w:spacing w:after="120"/>
      </w:pPr>
      <w:r>
        <w:rPr>
          <w:b w:val="0"/>
          <w:i w:val="0"/>
          <w:color w:val="1F2937"/>
          <w:sz w:val="20"/>
        </w:rPr>
        <w:t>After execution, SRE-Shield runs automated verification checks:</w:t>
        <w:br/>
        <w:t xml:space="preserve">  •  Health Probe: Simulates GET /healthz → checks for 200 OK response</w:t>
        <w:br/>
        <w:t xml:space="preserve">  •  Telemetry Check: Verifies error rate has dropped below SLO threshold (0.1%)</w:t>
        <w:br/>
        <w:t xml:space="preserve">  •  Metric Validation: Confirms resource utilisation is within healthy bounds</w:t>
        <w:br/>
        <w:br/>
        <w:t>If all checks pass, the incident is marked VERIFIED / RESOLVED and the MTTR is calculated. The runbook's success_count is incremented. If checks fail, the incident remains INVESTIGATING for further triage.</w:t>
      </w:r>
    </w:p>
    <w:p>
      <w:pPr>
        <w:pStyle w:val="Heading2"/>
        <w:spacing w:before="280" w:after="120"/>
      </w:pPr>
      <w:r>
        <w:rPr>
          <w:b/>
          <w:color w:val="1E3A5F"/>
        </w:rPr>
        <w:t>Step 9: Automated Post-Mortem Generation</w:t>
      </w:r>
    </w:p>
    <w:p>
      <w:pPr>
        <w:spacing w:after="120"/>
      </w:pPr>
      <w:r>
        <w:rPr>
          <w:b w:val="0"/>
          <w:i w:val="0"/>
          <w:color w:val="1F2937"/>
          <w:sz w:val="20"/>
        </w:rPr>
        <w:t>The PostMortemAgent generates a structured blameless post-mortem from the incident record using the Groq LLM. The draft includes:</w:t>
        <w:br/>
        <w:t xml:space="preserve">  •  Executive Summary</w:t>
        <w:br/>
        <w:t xml:space="preserve">  •  Customer &amp; Business Impact</w:t>
        <w:br/>
        <w:t xml:space="preserve">  •  Chronological Timeline of Events</w:t>
        <w:br/>
        <w:t xml:space="preserve">  •  Confirmed Root Cause</w:t>
        <w:br/>
        <w:t xml:space="preserve">  •  Resolution Steps Taken</w:t>
        <w:br/>
        <w:t xml:space="preserve">  •  Commands Used</w:t>
        <w:br/>
        <w:t xml:space="preserve">  •  What Worked Well</w:t>
        <w:br/>
        <w:t xml:space="preserve">  •  What Failed or Was Delayed</w:t>
        <w:br/>
        <w:t xml:space="preserve">  •  Prevention Strategies</w:t>
        <w:br/>
        <w:t xml:space="preserve">  •  Recommended Monitoring &amp; Alerting Improvements</w:t>
        <w:br/>
        <w:t xml:space="preserve">  •  Key Lessons Learned</w:t>
        <w:br/>
        <w:br/>
        <w:t>The engineer reviews and edits the post-mortem in the dashboard. The Approve button is the gateway to the learning loop.</w:t>
      </w:r>
    </w:p>
    <w:p>
      <w:pPr>
        <w:pStyle w:val="Heading2"/>
        <w:spacing w:before="280" w:after="120"/>
      </w:pPr>
      <w:r>
        <w:rPr>
          <w:b/>
          <w:color w:val="1E3A5F"/>
        </w:rPr>
        <w:t>Step 10: Hindsight Retain &amp; Reflect (Learning Loop Closes)</w:t>
      </w:r>
    </w:p>
    <w:p>
      <w:pPr>
        <w:spacing w:after="120"/>
      </w:pPr>
      <w:r>
        <w:rPr>
          <w:b w:val="0"/>
          <w:i w:val="0"/>
          <w:color w:val="1F2937"/>
          <w:sz w:val="20"/>
        </w:rPr>
        <w:t>On post-mortem approval, SRE-Shield executes the full learning closure:</w:t>
        <w:br/>
        <w:br/>
        <w:t xml:space="preserve">  retain():</w:t>
        <w:br/>
        <w:t xml:space="preserve">  The sanitized incident data and post-mortem are stored as a new MemoryExperience record. The TF-IDF index is rebuilt to include the new corpus. An audit entry is written with the experience ID and sanitization report.</w:t>
        <w:br/>
        <w:br/>
        <w:t xml:space="preserve">  reflect():</w:t>
        <w:br/>
        <w:t xml:space="preserve">  The system re-analyses all experiences for the affected service and produces an updated Entity Summary with refreshed failure mode lists, preferred runbooks, and MTTR statistics. If a recurring pattern is detected (e.g. connection pool exhaustion appearing for the 3rd time), the confidence score of the related Evolving Belief is raised by 5 percentage points.</w:t>
        <w:br/>
        <w:br/>
        <w:t xml:space="preserve">  Impact:</w:t>
        <w:br/>
        <w:t xml:space="preserve">  The next time any incident with a similar signature arrives — even from a different service or a new engineer — SRE-Shield will immediately recall this resolution with high confidence and recommend the exact command that was verified to work.</w:t>
      </w:r>
    </w:p>
    <w:p>
      <w:r>
        <w:br w:type="page"/>
      </w:r>
    </w:p>
    <w:p>
      <w:pPr>
        <w:pStyle w:val="Heading1"/>
        <w:spacing w:before="280" w:after="120"/>
      </w:pPr>
      <w:r>
        <w:rPr>
          <w:b/>
          <w:color w:val="1E3A5F"/>
        </w:rPr>
        <w:t>7.  Project Structure</w:t>
      </w:r>
    </w:p>
    <w:p>
      <w:pPr>
        <w:spacing w:before="80" w:after="80"/>
        <w:ind w:left="432"/>
        <w:shd w:val="clear" w:color="auto" w:fill="EFF6FF"/>
      </w:pPr>
      <w:r>
        <w:rPr>
          <w:rFonts w:ascii="Courier New" w:hAnsi="Courier New"/>
          <w:color w:val="1E40AF"/>
          <w:sz w:val="17"/>
        </w:rPr>
        <w:t>sre-shield/</w:t>
        <w:br/>
        <w:t>├── backend/</w:t>
        <w:br/>
        <w:t>│   ├── config.py                 Settings, env vars, DB URL, Groq model, ports</w:t>
        <w:br/>
        <w:t>│   ├── api/</w:t>
        <w:br/>
        <w:t>│   │   ├── main.py               FastAPI app with lifespan startup (DB init, seed, memory warm)</w:t>
        <w:br/>
        <w:t>│   │   └── routes.py             REST endpoints for incidents, memory, runbooks, execution, chat</w:t>
        <w:br/>
        <w:t>│   ├── memory/</w:t>
        <w:br/>
        <w:t>│   │   ├── base.py               Abstract BaseMemoryEngine interface</w:t>
        <w:br/>
        <w:t>│   │   ├── hindsight_engine.py   Hindsight 4-Network impl + retain/recall/reflect</w:t>
        <w:br/>
        <w:t>│   │   └── embeddings.py         Hybrid TF-IDF + SRE keyword search engine</w:t>
        <w:br/>
        <w:t>│   ├── security/</w:t>
        <w:br/>
        <w:t>│   │   └── sanitizer.py          Memory Defense regex redaction engine</w:t>
        <w:br/>
        <w:t>│   ├── agents/</w:t>
        <w:br/>
        <w:t>│   │   ├── groq_client.py        Groq API client with heuristic fallback</w:t>
        <w:br/>
        <w:t>│   │   ├── analyzer.py           Dual incident analyzer (with/without memory)</w:t>
        <w:br/>
        <w:t>│   │   ├── postmortem_agent.py   Post-mortem generator and memory closer</w:t>
        <w:br/>
        <w:t>│   │   └── assistant.py          SRE AI Copilot grounded in Hindsight memory</w:t>
        <w:br/>
        <w:t>│   ├── execution/</w:t>
        <w:br/>
        <w:t>│   │   └── executor.py           Safe simulated execution + automated verification</w:t>
        <w:br/>
        <w:t>│   ├── runbooks/</w:t>
        <w:br/>
        <w:t>│   │   └── runbook_manager.py    5 standard SRE runbooks with steps and CLI commands</w:t>
        <w:br/>
        <w:t>│   └── database/</w:t>
        <w:br/>
        <w:t>│       ├── connection.py         Async (FastAPI) and sync (Streamlit) DB sessions</w:t>
        <w:br/>
        <w:t>│       ├── models.py             8 SQLAlchemy models (Incident, Runbook, PostMortem,</w:t>
        <w:br/>
        <w:t>│       │                         MemoryExperience, EntitySummary, EvolvingBelief,</w:t>
        <w:br/>
        <w:t>│       │                         WorldFact, AuditLog)</w:t>
        <w:br/>
        <w:t>│       └── seed_data.py          10 realistic historical SRE incidents + Hindsight pre-load</w:t>
        <w:br/>
        <w:t>├── frontend/</w:t>
        <w:br/>
        <w:t>│   ├── app.py                    Streamlit entrypoint, dark theme, sidebar router</w:t>
        <w:br/>
        <w:t>│   ├── components.py             CSS theme, KPI cards, severity badges, timeline widgets</w:t>
        <w:br/>
        <w:t>│   ├── pages_dashboard.py        Executive dashboard: KPIs, MTTR chart, service breakdown</w:t>
        <w:br/>
        <w:t>│   ├── pages_incident_center.py  Incident ingestion, 1-click scenarios, dual diagnosis view</w:t>
        <w:br/>
        <w:t>│   ├── pages_approval.py         Human-in-the-loop approval and safe execution timeline</w:t>
        <w:br/>
        <w:t>│   ├── pages_postmortem.py       Post-mortem editor and learning loop retention</w:t>
        <w:br/>
        <w:t>│   ├── pages_hindsight.py        4-network memory inspector + live recall sandbox</w:t>
        <w:br/>
        <w:t>│   ├── pages_runbooks.py         Runbook catalog with steps, commands, success rates</w:t>
        <w:br/>
        <w:t>│   ├── pages_history.py          Searchable incident history with post-mortem drilldown</w:t>
        <w:br/>
        <w:t>│   ├── pages_assistant.py        SRE AI Copilot chat with memory citations</w:t>
        <w:br/>
        <w:t>│   └── pages_analytics.py        MTTR trends, root cause frequency, severity distribution</w:t>
        <w:br/>
        <w:t>├── data/</w:t>
        <w:br/>
        <w:t>│   └── sre_shield.db             Auto-seeded SQLite database (10 incidents, 5 runbooks)</w:t>
        <w:br/>
        <w:t>├── docker/</w:t>
        <w:br/>
        <w:t>│   ├── Dockerfile.backend</w:t>
        <w:br/>
        <w:t>│   └── Dockerfile.frontend</w:t>
        <w:br/>
        <w:t>├── docker-compose.yml</w:t>
        <w:br/>
        <w:t>├── requirements.txt</w:t>
        <w:br/>
        <w:t>├── .env.example</w:t>
        <w:br/>
        <w:t>├── seed.py                       Standalone DB + memory seeding utility</w:t>
        <w:br/>
        <w:t>├── run.py                        One-command launcher: Backend + Frontend</w:t>
        <w:br/>
        <w:t>└── tests/</w:t>
        <w:br/>
        <w:t xml:space="preserve">    ├── test_sanitizer.py         Unit tests: Memory Defense (4 test cases)</w:t>
        <w:br/>
        <w:t xml:space="preserve">    ├── test_hindsight.py         Unit tests: Recall and Reflect operations</w:t>
        <w:br/>
        <w:t xml:space="preserve">    └── test_analyzer_and_execution.py  Unit tests: Dual diagnosis and safe execution</w:t>
      </w:r>
    </w:p>
    <w:p>
      <w:r>
        <w:br w:type="page"/>
      </w:r>
    </w:p>
    <w:p>
      <w:pPr>
        <w:pStyle w:val="Heading1"/>
        <w:spacing w:before="280" w:after="120"/>
      </w:pPr>
      <w:r>
        <w:rPr>
          <w:b/>
          <w:color w:val="1E3A5F"/>
        </w:rPr>
        <w:t>8.  Pre-loaded Demo Data &amp; Hackathon Scenario</w:t>
      </w:r>
    </w:p>
    <w:p>
      <w:pPr>
        <w:spacing w:after="120"/>
      </w:pPr>
      <w:r>
        <w:rPr>
          <w:b w:val="0"/>
          <w:i w:val="0"/>
          <w:color w:val="1F2937"/>
          <w:sz w:val="21"/>
        </w:rPr>
        <w:t>SRE-Shield is pre-seeded with 10 realistic production incidents so the hackathon demo can begin immediately without any manual data entry. Each incident includes full logs, root cause, CLI commands, verification output, post-mortem, and Hindsight memory records.</w:t>
      </w:r>
    </w:p>
    <w:p>
      <w:pPr>
        <w:pStyle w:val="Heading2"/>
        <w:spacing w:before="280" w:after="120"/>
      </w:pPr>
      <w:r>
        <w:rPr>
          <w:b/>
          <w:color w:val="2563EB"/>
        </w:rPr>
        <w:t>8.1  Pre-loaded Incidents</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E3A5F"/>
          </w:tcPr>
          <w:p>
            <w:r>
              <w:rPr>
                <w:b/>
                <w:color w:val="FFFFFF"/>
                <w:sz w:val="17"/>
              </w:rPr>
              <w:t>Incident ID</w:t>
            </w:r>
          </w:p>
        </w:tc>
        <w:tc>
          <w:tcPr>
            <w:tcW w:type="dxa" w:w="1344"/>
            <w:shd w:val="clear" w:color="auto" w:fill="1E3A5F"/>
          </w:tcPr>
          <w:p>
            <w:r>
              <w:rPr>
                <w:b/>
                <w:color w:val="FFFFFF"/>
                <w:sz w:val="17"/>
              </w:rPr>
              <w:t>Service</w:t>
            </w:r>
          </w:p>
        </w:tc>
        <w:tc>
          <w:tcPr>
            <w:tcW w:type="dxa" w:w="1344"/>
            <w:shd w:val="clear" w:color="auto" w:fill="1E3A5F"/>
          </w:tcPr>
          <w:p>
            <w:r>
              <w:rPr>
                <w:b/>
                <w:color w:val="FFFFFF"/>
                <w:sz w:val="17"/>
              </w:rPr>
              <w:t>Sev</w:t>
            </w:r>
          </w:p>
        </w:tc>
        <w:tc>
          <w:tcPr>
            <w:tcW w:type="dxa" w:w="1344"/>
            <w:shd w:val="clear" w:color="auto" w:fill="1E3A5F"/>
          </w:tcPr>
          <w:p>
            <w:r>
              <w:rPr>
                <w:b/>
                <w:color w:val="FFFFFF"/>
                <w:sz w:val="17"/>
              </w:rPr>
              <w:t>Root Cause</w:t>
            </w:r>
          </w:p>
        </w:tc>
        <w:tc>
          <w:tcPr>
            <w:tcW w:type="dxa" w:w="1344"/>
            <w:shd w:val="clear" w:color="auto" w:fill="1E3A5F"/>
          </w:tcPr>
          <w:p>
            <w:r>
              <w:rPr>
                <w:b/>
                <w:color w:val="FFFFFF"/>
                <w:sz w:val="17"/>
              </w:rPr>
              <w:t>Resolution</w:t>
            </w:r>
          </w:p>
        </w:tc>
        <w:tc>
          <w:tcPr>
            <w:tcW w:type="dxa" w:w="1344"/>
            <w:shd w:val="clear" w:color="auto" w:fill="1E3A5F"/>
          </w:tcPr>
          <w:p>
            <w:r>
              <w:rPr>
                <w:b/>
                <w:color w:val="FFFFFF"/>
                <w:sz w:val="17"/>
              </w:rPr>
              <w:t>Runbook</w:t>
            </w:r>
          </w:p>
        </w:tc>
        <w:tc>
          <w:tcPr>
            <w:tcW w:type="dxa" w:w="1344"/>
            <w:shd w:val="clear" w:color="auto" w:fill="1E3A5F"/>
          </w:tcPr>
          <w:p>
            <w:r>
              <w:rPr>
                <w:b/>
                <w:color w:val="FFFFFF"/>
                <w:sz w:val="17"/>
              </w:rPr>
              <w:t>MTTR</w:t>
            </w:r>
          </w:p>
        </w:tc>
      </w:tr>
      <w:tr>
        <w:tc>
          <w:tcPr>
            <w:tcW w:type="dxa" w:w="1344"/>
          </w:tcPr>
          <w:p>
            <w:r>
              <w:rPr>
                <w:sz w:val="17"/>
              </w:rPr>
              <w:t>INC-1001</w:t>
            </w:r>
          </w:p>
        </w:tc>
        <w:tc>
          <w:tcPr>
            <w:tcW w:type="dxa" w:w="1344"/>
          </w:tcPr>
          <w:p>
            <w:r>
              <w:rPr>
                <w:sz w:val="17"/>
              </w:rPr>
              <w:t>Checkout API</w:t>
            </w:r>
          </w:p>
        </w:tc>
        <w:tc>
          <w:tcPr>
            <w:tcW w:type="dxa" w:w="1344"/>
          </w:tcPr>
          <w:p>
            <w:r>
              <w:rPr>
                <w:b/>
                <w:color w:val="B91C1C"/>
                <w:sz w:val="17"/>
              </w:rPr>
              <w:t>CRITICAL</w:t>
            </w:r>
          </w:p>
        </w:tc>
        <w:tc>
          <w:tcPr>
            <w:tcW w:type="dxa" w:w="1344"/>
          </w:tcPr>
          <w:p>
            <w:r>
              <w:rPr>
                <w:sz w:val="17"/>
              </w:rPr>
              <w:t>PostgreSQL connection pool exhausted under flash sale traffic</w:t>
            </w:r>
          </w:p>
        </w:tc>
        <w:tc>
          <w:tcPr>
            <w:tcW w:type="dxa" w:w="1344"/>
          </w:tcPr>
          <w:p>
            <w:r>
              <w:rPr>
                <w:sz w:val="17"/>
              </w:rPr>
              <w:t>Increase pool size to 50 in ConfigMap + rollout restart</w:t>
            </w:r>
          </w:p>
        </w:tc>
        <w:tc>
          <w:tcPr>
            <w:tcW w:type="dxa" w:w="1344"/>
          </w:tcPr>
          <w:p>
            <w:r>
              <w:rPr>
                <w:sz w:val="17"/>
              </w:rPr>
              <w:t>DB-CONNECTION-001</w:t>
            </w:r>
          </w:p>
        </w:tc>
        <w:tc>
          <w:tcPr>
            <w:tcW w:type="dxa" w:w="1344"/>
          </w:tcPr>
          <w:p>
            <w:r>
              <w:rPr>
                <w:sz w:val="17"/>
              </w:rPr>
              <w:t>12m</w:t>
            </w:r>
          </w:p>
        </w:tc>
      </w:tr>
      <w:tr>
        <w:tc>
          <w:tcPr>
            <w:tcW w:type="dxa" w:w="1344"/>
          </w:tcPr>
          <w:p>
            <w:r>
              <w:rPr>
                <w:sz w:val="17"/>
              </w:rPr>
              <w:t>INC-1002</w:t>
            </w:r>
          </w:p>
        </w:tc>
        <w:tc>
          <w:tcPr>
            <w:tcW w:type="dxa" w:w="1344"/>
          </w:tcPr>
          <w:p>
            <w:r>
              <w:rPr>
                <w:sz w:val="17"/>
              </w:rPr>
              <w:t>Inventory Service</w:t>
            </w:r>
          </w:p>
        </w:tc>
        <w:tc>
          <w:tcPr>
            <w:tcW w:type="dxa" w:w="1344"/>
          </w:tcPr>
          <w:p>
            <w:r>
              <w:rPr>
                <w:b/>
                <w:color w:val="D97706"/>
                <w:sz w:val="17"/>
              </w:rPr>
              <w:t>HIGH</w:t>
            </w:r>
          </w:p>
        </w:tc>
        <w:tc>
          <w:tcPr>
            <w:tcW w:type="dxa" w:w="1344"/>
          </w:tcPr>
          <w:p>
            <w:r>
              <w:rPr>
                <w:sz w:val="17"/>
              </w:rPr>
              <w:t>JVM heap OOMKilled — unpaginated catalog sync query</w:t>
            </w:r>
          </w:p>
        </w:tc>
        <w:tc>
          <w:tcPr>
            <w:tcW w:type="dxa" w:w="1344"/>
          </w:tcPr>
          <w:p>
            <w:r>
              <w:rPr>
                <w:sz w:val="17"/>
              </w:rPr>
              <w:t>kubectl set resources --limits=memory=2560Mi</w:t>
            </w:r>
          </w:p>
        </w:tc>
        <w:tc>
          <w:tcPr>
            <w:tcW w:type="dxa" w:w="1344"/>
          </w:tcPr>
          <w:p>
            <w:r>
              <w:rPr>
                <w:sz w:val="17"/>
              </w:rPr>
              <w:t>K8S-POD-OOM-002</w:t>
            </w:r>
          </w:p>
        </w:tc>
        <w:tc>
          <w:tcPr>
            <w:tcW w:type="dxa" w:w="1344"/>
          </w:tcPr>
          <w:p>
            <w:r>
              <w:rPr>
                <w:sz w:val="17"/>
              </w:rPr>
              <w:t>8m</w:t>
            </w:r>
          </w:p>
        </w:tc>
      </w:tr>
      <w:tr>
        <w:tc>
          <w:tcPr>
            <w:tcW w:type="dxa" w:w="1344"/>
          </w:tcPr>
          <w:p>
            <w:r>
              <w:rPr>
                <w:sz w:val="17"/>
              </w:rPr>
              <w:t>INC-1003</w:t>
            </w:r>
          </w:p>
        </w:tc>
        <w:tc>
          <w:tcPr>
            <w:tcW w:type="dxa" w:w="1344"/>
          </w:tcPr>
          <w:p>
            <w:r>
              <w:rPr>
                <w:sz w:val="17"/>
              </w:rPr>
              <w:t>Redis Cache</w:t>
            </w:r>
          </w:p>
        </w:tc>
        <w:tc>
          <w:tcPr>
            <w:tcW w:type="dxa" w:w="1344"/>
          </w:tcPr>
          <w:p>
            <w:r>
              <w:rPr>
                <w:b/>
                <w:color w:val="D97706"/>
                <w:sz w:val="17"/>
              </w:rPr>
              <w:t>HIGH</w:t>
            </w:r>
          </w:p>
        </w:tc>
        <w:tc>
          <w:tcPr>
            <w:tcW w:type="dxa" w:w="1344"/>
          </w:tcPr>
          <w:p>
            <w:r>
              <w:rPr>
                <w:sz w:val="17"/>
              </w:rPr>
              <w:t>maxmemory-policy=noeviction blocked all writes on memory cap</w:t>
            </w:r>
          </w:p>
        </w:tc>
        <w:tc>
          <w:tcPr>
            <w:tcW w:type="dxa" w:w="1344"/>
          </w:tcPr>
          <w:p>
            <w:r>
              <w:rPr>
                <w:sz w:val="17"/>
              </w:rPr>
              <w:t>redis-cli CONFIG SET maxmemory-policy allkeys-lru + 8gb</w:t>
            </w:r>
          </w:p>
        </w:tc>
        <w:tc>
          <w:tcPr>
            <w:tcW w:type="dxa" w:w="1344"/>
          </w:tcPr>
          <w:p>
            <w:r>
              <w:rPr>
                <w:sz w:val="17"/>
              </w:rPr>
              <w:t>REDIS-TIMEOUT-003</w:t>
            </w:r>
          </w:p>
        </w:tc>
        <w:tc>
          <w:tcPr>
            <w:tcW w:type="dxa" w:w="1344"/>
          </w:tcPr>
          <w:p>
            <w:r>
              <w:rPr>
                <w:sz w:val="17"/>
              </w:rPr>
              <w:t>6m</w:t>
            </w:r>
          </w:p>
        </w:tc>
      </w:tr>
      <w:tr>
        <w:tc>
          <w:tcPr>
            <w:tcW w:type="dxa" w:w="1344"/>
          </w:tcPr>
          <w:p>
            <w:r>
              <w:rPr>
                <w:sz w:val="17"/>
              </w:rPr>
              <w:t>INC-1004</w:t>
            </w:r>
          </w:p>
        </w:tc>
        <w:tc>
          <w:tcPr>
            <w:tcW w:type="dxa" w:w="1344"/>
          </w:tcPr>
          <w:p>
            <w:r>
              <w:rPr>
                <w:sz w:val="17"/>
              </w:rPr>
              <w:t>User Auth Service</w:t>
            </w:r>
          </w:p>
        </w:tc>
        <w:tc>
          <w:tcPr>
            <w:tcW w:type="dxa" w:w="1344"/>
          </w:tcPr>
          <w:p>
            <w:r>
              <w:rPr>
                <w:b/>
                <w:color w:val="D97706"/>
                <w:sz w:val="17"/>
              </w:rPr>
              <w:t>HIGH</w:t>
            </w:r>
          </w:p>
        </w:tc>
        <w:tc>
          <w:tcPr>
            <w:tcW w:type="dxa" w:w="1344"/>
          </w:tcPr>
          <w:p>
            <w:r>
              <w:rPr>
                <w:sz w:val="17"/>
              </w:rPr>
              <w:t>3-pod replica insufficient for end-of-month login surge — 503</w:t>
            </w:r>
          </w:p>
        </w:tc>
        <w:tc>
          <w:tcPr>
            <w:tcW w:type="dxa" w:w="1344"/>
          </w:tcPr>
          <w:p>
            <w:r>
              <w:rPr>
                <w:sz w:val="17"/>
              </w:rPr>
              <w:t>kubectl scale deployment --replicas=8</w:t>
            </w:r>
          </w:p>
        </w:tc>
        <w:tc>
          <w:tcPr>
            <w:tcW w:type="dxa" w:w="1344"/>
          </w:tcPr>
          <w:p>
            <w:r>
              <w:rPr>
                <w:sz w:val="17"/>
              </w:rPr>
              <w:t>HTTP-503-INGRESS-004</w:t>
            </w:r>
          </w:p>
        </w:tc>
        <w:tc>
          <w:tcPr>
            <w:tcW w:type="dxa" w:w="1344"/>
          </w:tcPr>
          <w:p>
            <w:r>
              <w:rPr>
                <w:sz w:val="17"/>
              </w:rPr>
              <w:t>5m</w:t>
            </w:r>
          </w:p>
        </w:tc>
      </w:tr>
      <w:tr>
        <w:tc>
          <w:tcPr>
            <w:tcW w:type="dxa" w:w="1344"/>
          </w:tcPr>
          <w:p>
            <w:r>
              <w:rPr>
                <w:sz w:val="17"/>
              </w:rPr>
              <w:t>INC-1005</w:t>
            </w:r>
          </w:p>
        </w:tc>
        <w:tc>
          <w:tcPr>
            <w:tcW w:type="dxa" w:w="1344"/>
          </w:tcPr>
          <w:p>
            <w:r>
              <w:rPr>
                <w:sz w:val="17"/>
              </w:rPr>
              <w:t>Payment Gateway</w:t>
            </w:r>
          </w:p>
        </w:tc>
        <w:tc>
          <w:tcPr>
            <w:tcW w:type="dxa" w:w="1344"/>
          </w:tcPr>
          <w:p>
            <w:r>
              <w:rPr>
                <w:b/>
                <w:color w:val="B91C1C"/>
                <w:sz w:val="17"/>
              </w:rPr>
              <w:t>CRITICAL</w:t>
            </w:r>
          </w:p>
        </w:tc>
        <w:tc>
          <w:tcPr>
            <w:tcW w:type="dxa" w:w="1344"/>
          </w:tcPr>
          <w:p>
            <w:r>
              <w:rPr>
                <w:sz w:val="17"/>
              </w:rPr>
              <w:t>Missing STRIPE_WEBHOOK_SECRET caused 100% pod CrashLoopBackOff</w:t>
            </w:r>
          </w:p>
        </w:tc>
        <w:tc>
          <w:tcPr>
            <w:tcW w:type="dxa" w:w="1344"/>
          </w:tcPr>
          <w:p>
            <w:r>
              <w:rPr>
                <w:sz w:val="17"/>
              </w:rPr>
              <w:t>kubectl rollout undo deployment/payment-gateway</w:t>
            </w:r>
          </w:p>
        </w:tc>
        <w:tc>
          <w:tcPr>
            <w:tcW w:type="dxa" w:w="1344"/>
          </w:tcPr>
          <w:p>
            <w:r>
              <w:rPr>
                <w:sz w:val="17"/>
              </w:rPr>
              <w:t>DEPLOY-ROLLBACK-005</w:t>
            </w:r>
          </w:p>
        </w:tc>
        <w:tc>
          <w:tcPr>
            <w:tcW w:type="dxa" w:w="1344"/>
          </w:tcPr>
          <w:p>
            <w:r>
              <w:rPr>
                <w:sz w:val="17"/>
              </w:rPr>
              <w:t>4m</w:t>
            </w:r>
          </w:p>
        </w:tc>
      </w:tr>
      <w:tr>
        <w:tc>
          <w:tcPr>
            <w:tcW w:type="dxa" w:w="1344"/>
          </w:tcPr>
          <w:p>
            <w:r>
              <w:rPr>
                <w:sz w:val="17"/>
              </w:rPr>
              <w:t>INC-1006</w:t>
            </w:r>
          </w:p>
        </w:tc>
        <w:tc>
          <w:tcPr>
            <w:tcW w:type="dxa" w:w="1344"/>
          </w:tcPr>
          <w:p>
            <w:r>
              <w:rPr>
                <w:sz w:val="17"/>
              </w:rPr>
              <w:t>Order Processing</w:t>
            </w:r>
          </w:p>
        </w:tc>
        <w:tc>
          <w:tcPr>
            <w:tcW w:type="dxa" w:w="1344"/>
          </w:tcPr>
          <w:p>
            <w:r>
              <w:rPr>
                <w:b/>
                <w:color w:val="D97706"/>
                <w:sz w:val="17"/>
              </w:rPr>
              <w:t>HIGH</w:t>
            </w:r>
          </w:p>
        </w:tc>
        <w:tc>
          <w:tcPr>
            <w:tcW w:type="dxa" w:w="1344"/>
          </w:tcPr>
          <w:p>
            <w:r>
              <w:rPr>
                <w:sz w:val="17"/>
              </w:rPr>
              <w:t>Kafka consumer rebalance storm — max.poll.interval exceeded</w:t>
            </w:r>
          </w:p>
        </w:tc>
        <w:tc>
          <w:tcPr>
            <w:tcW w:type="dxa" w:w="1344"/>
          </w:tcPr>
          <w:p>
            <w:r>
              <w:rPr>
                <w:sz w:val="17"/>
              </w:rPr>
              <w:t>Patch KAFKA_MAX_POLL_INTERVAL_MS=900000 + restart</w:t>
            </w:r>
          </w:p>
        </w:tc>
        <w:tc>
          <w:tcPr>
            <w:tcW w:type="dxa" w:w="1344"/>
          </w:tcPr>
          <w:p>
            <w:r>
              <w:rPr>
                <w:sz w:val="17"/>
              </w:rPr>
              <w:t>DB-CONNECTION-001</w:t>
            </w:r>
          </w:p>
        </w:tc>
        <w:tc>
          <w:tcPr>
            <w:tcW w:type="dxa" w:w="1344"/>
          </w:tcPr>
          <w:p>
            <w:r>
              <w:rPr>
                <w:sz w:val="17"/>
              </w:rPr>
              <w:t>10m</w:t>
            </w:r>
          </w:p>
        </w:tc>
      </w:tr>
      <w:tr>
        <w:tc>
          <w:tcPr>
            <w:tcW w:type="dxa" w:w="1344"/>
          </w:tcPr>
          <w:p>
            <w:r>
              <w:rPr>
                <w:sz w:val="17"/>
              </w:rPr>
              <w:t>INC-1007</w:t>
            </w:r>
          </w:p>
        </w:tc>
        <w:tc>
          <w:tcPr>
            <w:tcW w:type="dxa" w:w="1344"/>
          </w:tcPr>
          <w:p>
            <w:r>
              <w:rPr>
                <w:sz w:val="17"/>
              </w:rPr>
              <w:t>Database Cluster</w:t>
            </w:r>
          </w:p>
        </w:tc>
        <w:tc>
          <w:tcPr>
            <w:tcW w:type="dxa" w:w="1344"/>
          </w:tcPr>
          <w:p>
            <w:r>
              <w:rPr>
                <w:b/>
                <w:color w:val="B91C1C"/>
                <w:sz w:val="17"/>
              </w:rPr>
              <w:t>CRITICAL</w:t>
            </w:r>
          </w:p>
        </w:tc>
        <w:tc>
          <w:tcPr>
            <w:tcW w:type="dxa" w:w="1344"/>
          </w:tcPr>
          <w:p>
            <w:r>
              <w:rPr>
                <w:sz w:val="17"/>
              </w:rPr>
              <w:t>WAL log disk exhaustion — S3 archive IAM role expired</w:t>
            </w:r>
          </w:p>
        </w:tc>
        <w:tc>
          <w:tcPr>
            <w:tcW w:type="dxa" w:w="1344"/>
          </w:tcPr>
          <w:p>
            <w:r>
              <w:rPr>
                <w:sz w:val="17"/>
              </w:rPr>
              <w:t>AWS EBS volume resize + pg_archivecleanup</w:t>
            </w:r>
          </w:p>
        </w:tc>
        <w:tc>
          <w:tcPr>
            <w:tcW w:type="dxa" w:w="1344"/>
          </w:tcPr>
          <w:p>
            <w:r>
              <w:rPr>
                <w:sz w:val="17"/>
              </w:rPr>
              <w:t>DB-CONNECTION-001</w:t>
            </w:r>
          </w:p>
        </w:tc>
        <w:tc>
          <w:tcPr>
            <w:tcW w:type="dxa" w:w="1344"/>
          </w:tcPr>
          <w:p>
            <w:r>
              <w:rPr>
                <w:sz w:val="17"/>
              </w:rPr>
              <w:t>15m</w:t>
            </w:r>
          </w:p>
        </w:tc>
      </w:tr>
      <w:tr>
        <w:tc>
          <w:tcPr>
            <w:tcW w:type="dxa" w:w="1344"/>
          </w:tcPr>
          <w:p>
            <w:r>
              <w:rPr>
                <w:sz w:val="17"/>
              </w:rPr>
              <w:t>INC-1008</w:t>
            </w:r>
          </w:p>
        </w:tc>
        <w:tc>
          <w:tcPr>
            <w:tcW w:type="dxa" w:w="1344"/>
          </w:tcPr>
          <w:p>
            <w:r>
              <w:rPr>
                <w:sz w:val="17"/>
              </w:rPr>
              <w:t>API Gateway</w:t>
            </w:r>
          </w:p>
        </w:tc>
        <w:tc>
          <w:tcPr>
            <w:tcW w:type="dxa" w:w="1344"/>
          </w:tcPr>
          <w:p>
            <w:r>
              <w:rPr>
                <w:b/>
                <w:color w:val="B91C1C"/>
                <w:sz w:val="17"/>
              </w:rPr>
              <w:t>CRITICAL</w:t>
            </w:r>
          </w:p>
        </w:tc>
        <w:tc>
          <w:tcPr>
            <w:tcW w:type="dxa" w:w="1344"/>
          </w:tcPr>
          <w:p>
            <w:r>
              <w:rPr>
                <w:sz w:val="17"/>
              </w:rPr>
              <w:t>TLS certificate expired — cert-manager DNS challenge failed</w:t>
            </w:r>
          </w:p>
        </w:tc>
        <w:tc>
          <w:tcPr>
            <w:tcW w:type="dxa" w:w="1344"/>
          </w:tcPr>
          <w:p>
            <w:r>
              <w:rPr>
                <w:sz w:val="17"/>
              </w:rPr>
              <w:t>kubectl cert-manager renew api-tls-cert</w:t>
            </w:r>
          </w:p>
        </w:tc>
        <w:tc>
          <w:tcPr>
            <w:tcW w:type="dxa" w:w="1344"/>
          </w:tcPr>
          <w:p>
            <w:r>
              <w:rPr>
                <w:sz w:val="17"/>
              </w:rPr>
              <w:t>DEPLOY-ROLLBACK-005</w:t>
            </w:r>
          </w:p>
        </w:tc>
        <w:tc>
          <w:tcPr>
            <w:tcW w:type="dxa" w:w="1344"/>
          </w:tcPr>
          <w:p>
            <w:r>
              <w:rPr>
                <w:sz w:val="17"/>
              </w:rPr>
              <w:t>6m</w:t>
            </w:r>
          </w:p>
        </w:tc>
      </w:tr>
    </w:tbl>
    <w:p/>
    <w:p>
      <w:pPr>
        <w:pStyle w:val="Heading2"/>
        <w:spacing w:before="280" w:after="120"/>
      </w:pPr>
      <w:r>
        <w:rPr>
          <w:b/>
          <w:color w:val="2563EB"/>
        </w:rPr>
        <w:t>8.2  The Core Hackathon Demo Scenario</w:t>
      </w:r>
    </w:p>
    <w:p>
      <w:pPr>
        <w:spacing w:after="120"/>
      </w:pPr>
      <w:r>
        <w:rPr>
          <w:b w:val="0"/>
          <w:i w:val="0"/>
          <w:color w:val="1F2937"/>
          <w:sz w:val="21"/>
        </w:rPr>
        <w:t>The primary demonstration uses INC-1001 as the historical anchor. The engineer then triggers a new incident with the same root cause pattern:</w:t>
      </w:r>
    </w:p>
    <w:tbl>
      <w:tblPr>
        <w:tblW w:type="auto" w:w="0"/>
        <w:jc w:val="left"/>
        <w:tblLook w:firstColumn="1" w:firstRow="1" w:lastColumn="0" w:lastRow="0" w:noHBand="0" w:noVBand="1" w:val="04A0"/>
      </w:tblPr>
      <w:tblGrid>
        <w:gridCol w:w="9406"/>
      </w:tblGrid>
      <w:tr>
        <w:tc>
          <w:tcPr>
            <w:tcW w:type="dxa" w:w="9406"/>
            <w:shd w:val="clear" w:color="auto" w:fill="F0FDF4"/>
            <w:tcBorders>
              <w:top w:val="single" w:sz="6" w:space="0" w:color="16A34A"/>
              <w:left w:val="single" w:sz="6" w:space="0" w:color="16A34A"/>
              <w:bottom w:val="single" w:sz="6" w:space="0" w:color="16A34A"/>
              <w:right w:val="single" w:sz="6" w:space="0" w:color="16A34A"/>
            </w:tcBorders>
          </w:tcPr>
          <w:p/>
          <w:p/>
          <w:p>
            <w:pPr>
              <w:spacing w:after="80"/>
            </w:pPr>
            <w:r>
              <w:rPr>
                <w:b/>
                <w:color w:val="064E3B"/>
                <w:sz w:val="20"/>
              </w:rPr>
              <w:t>Historical Incident (Pre-loaded in Memory — INC-1001)</w:t>
            </w:r>
          </w:p>
          <w:p>
            <w:pPr>
              <w:spacing w:after="40"/>
            </w:pPr>
            <w:r>
              <w:rPr>
                <w:color w:val="1F2937"/>
                <w:sz w:val="19"/>
              </w:rPr>
              <w:t>Service: Checkout API</w:t>
            </w:r>
          </w:p>
          <w:p>
            <w:pPr>
              <w:spacing w:after="40"/>
            </w:pPr>
            <w:r>
              <w:rPr>
                <w:color w:val="1F2937"/>
                <w:sz w:val="19"/>
              </w:rPr>
              <w:t>Error: HTTP 500 — PostgreSQL FATAL: remaining connection slots are reserved</w:t>
            </w:r>
          </w:p>
          <w:p>
            <w:pPr>
              <w:spacing w:after="40"/>
            </w:pPr>
            <w:r>
              <w:rPr>
                <w:color w:val="1F2937"/>
                <w:sz w:val="19"/>
              </w:rPr>
              <w:t>Root Cause: Connection pool exhausted (20 connections, 4 pods) under flash sale traffic</w:t>
            </w:r>
          </w:p>
          <w:p>
            <w:pPr>
              <w:spacing w:after="40"/>
            </w:pPr>
            <w:r>
              <w:rPr>
                <w:color w:val="1F2937"/>
                <w:sz w:val="19"/>
              </w:rPr>
              <w:t>Resolution: Patched ConfigMap DB_POOL_MAX=50, rolling restart applied</w:t>
            </w:r>
          </w:p>
          <w:p>
            <w:pPr>
              <w:spacing w:after="40"/>
            </w:pPr>
            <w:r>
              <w:rPr>
                <w:color w:val="1F2937"/>
                <w:sz w:val="19"/>
              </w:rPr>
              <w:t>Outcome: VERIFIED — error rate dropped from 48.2% to 0.00%. MTTR: 12 minutes.</w:t>
            </w:r>
          </w:p>
          <w:p/>
        </w:tc>
      </w:tr>
    </w:tbl>
    <w:p/>
    <w:tbl>
      <w:tblPr>
        <w:tblW w:type="auto" w:w="0"/>
        <w:jc w:val="left"/>
        <w:tblLook w:firstColumn="1" w:firstRow="1" w:lastColumn="0" w:lastRow="0" w:noHBand="0" w:noVBand="1" w:val="04A0"/>
      </w:tblPr>
      <w:tblGrid>
        <w:gridCol w:w="9406"/>
      </w:tblGrid>
      <w:tr>
        <w:tc>
          <w:tcPr>
            <w:tcW w:type="dxa" w:w="9406"/>
            <w:shd w:val="clear" w:color="auto" w:fill="EFF6FF"/>
            <w:tcBorders>
              <w:top w:val="single" w:sz="6" w:space="0" w:color="2563EB"/>
              <w:left w:val="single" w:sz="6" w:space="0" w:color="2563EB"/>
              <w:bottom w:val="single" w:sz="6" w:space="0" w:color="2563EB"/>
              <w:right w:val="single" w:sz="6" w:space="0" w:color="2563EB"/>
            </w:tcBorders>
          </w:tcPr>
          <w:p/>
          <w:p/>
          <w:p>
            <w:pPr>
              <w:spacing w:after="80"/>
            </w:pPr>
            <w:r>
              <w:rPr>
                <w:b/>
                <w:color w:val="1E40AF"/>
                <w:sz w:val="20"/>
              </w:rPr>
              <w:t>New Demo Incident (Triggered via 1-Click Scenario Button)</w:t>
            </w:r>
          </w:p>
          <w:p>
            <w:pPr>
              <w:spacing w:after="40"/>
            </w:pPr>
            <w:r>
              <w:rPr>
                <w:color w:val="1F2937"/>
                <w:sz w:val="19"/>
              </w:rPr>
              <w:t>Service: Checkout API</w:t>
            </w:r>
          </w:p>
          <w:p>
            <w:pPr>
              <w:spacing w:after="40"/>
            </w:pPr>
            <w:r>
              <w:rPr>
                <w:color w:val="1F2937"/>
                <w:sz w:val="19"/>
              </w:rPr>
              <w:t>Error: HTTP 500 — org.postgresql.util.PSQLException: FATAL: remaining connection slots are reserved</w:t>
            </w:r>
          </w:p>
          <w:p>
            <w:pPr>
              <w:spacing w:after="40"/>
            </w:pPr>
            <w:r>
              <w:rPr>
                <w:color w:val="1F2937"/>
                <w:sz w:val="19"/>
              </w:rPr>
              <w:t>Logs: [FATAL] Connection pool exhausted! Max pool size 20 reached. (contains simulated password + API key)</w:t>
            </w:r>
          </w:p>
          <w:p>
            <w:pPr>
              <w:spacing w:after="40"/>
            </w:pPr>
            <w:r>
              <w:rPr>
                <w:color w:val="1F2937"/>
                <w:sz w:val="19"/>
              </w:rPr>
              <w:t>Deployment Info: Traffic surged to 24,000 rps after holiday coupon push notification.</w:t>
            </w:r>
          </w:p>
          <w:p/>
        </w:tc>
      </w:tr>
    </w:tbl>
    <w:p/>
    <w:p>
      <w:pPr>
        <w:spacing w:after="120"/>
      </w:pPr>
      <w:r>
        <w:rPr>
          <w:b/>
          <w:i w:val="0"/>
          <w:color w:val="1F2937"/>
          <w:sz w:val="21"/>
        </w:rPr>
        <w:t>What happens next demonstrates the core SRE-Shield value proposition:</w:t>
      </w:r>
    </w:p>
    <w:p>
      <w:pPr>
        <w:pStyle w:val="ListBullet"/>
        <w:spacing w:after="60"/>
      </w:pPr>
      <w:r>
        <w:rPr>
          <w:color w:val="374151"/>
          <w:sz w:val="21"/>
        </w:rPr>
        <w:t>Memory Defense sanitizes password=prodSecretPassword123 and the Groq API key from logs before storage.</w:t>
      </w:r>
    </w:p>
    <w:p>
      <w:pPr>
        <w:pStyle w:val="ListBullet"/>
        <w:spacing w:after="60"/>
      </w:pPr>
      <w:r>
        <w:rPr>
          <w:color w:val="374151"/>
          <w:sz w:val="21"/>
        </w:rPr>
        <w:t>Hindsight Recall identifies INC-1001 with 92% similarity. Root cause, verified command, and runbook are surfaced instantly.</w:t>
      </w:r>
    </w:p>
    <w:p>
      <w:pPr>
        <w:pStyle w:val="ListBullet"/>
        <w:spacing w:after="60"/>
      </w:pPr>
      <w:r>
        <w:rPr>
          <w:color w:val="374151"/>
          <w:sz w:val="21"/>
        </w:rPr>
        <w:t>AI Diagnosis generates a 96% confidence answer citing the historical incident — compared to the stateless AI producing a 45% confidence generic guess.</w:t>
      </w:r>
    </w:p>
    <w:p>
      <w:pPr>
        <w:pStyle w:val="ListBullet"/>
        <w:spacing w:after="60"/>
      </w:pPr>
      <w:r>
        <w:rPr>
          <w:color w:val="374151"/>
          <w:sz w:val="21"/>
        </w:rPr>
        <w:t>Engineer reviews and approves the recommended kubectl patch command.</w:t>
      </w:r>
    </w:p>
    <w:p>
      <w:pPr>
        <w:pStyle w:val="ListBullet"/>
        <w:spacing w:after="60"/>
      </w:pPr>
      <w:r>
        <w:rPr>
          <w:color w:val="374151"/>
          <w:sz w:val="21"/>
        </w:rPr>
        <w:t>Safe execution runs in SIMULATION MODE. Health probe returns 200 OK. Error rate drops to 0.00%.</w:t>
      </w:r>
    </w:p>
    <w:p>
      <w:pPr>
        <w:pStyle w:val="ListBullet"/>
        <w:spacing w:after="60"/>
      </w:pPr>
      <w:r>
        <w:rPr>
          <w:color w:val="374151"/>
          <w:sz w:val="21"/>
        </w:rPr>
        <w:t>Post-mortem is generated, approved, and retained. Hindsight memory is updated. The learning loop closes.</w:t>
      </w:r>
    </w:p>
    <w:p>
      <w:r>
        <w:br w:type="page"/>
      </w:r>
    </w:p>
    <w:p>
      <w:pPr>
        <w:pStyle w:val="Heading1"/>
        <w:spacing w:before="280" w:after="120"/>
      </w:pPr>
      <w:r>
        <w:rPr>
          <w:b/>
          <w:color w:val="1E3A5F"/>
        </w:rPr>
        <w:t>9.  Security: Memory Defense Layer</w:t>
      </w:r>
    </w:p>
    <w:p>
      <w:pPr>
        <w:spacing w:after="120"/>
      </w:pPr>
      <w:r>
        <w:rPr>
          <w:b w:val="0"/>
          <w:i w:val="0"/>
          <w:color w:val="1F2937"/>
          <w:sz w:val="21"/>
        </w:rPr>
        <w:t>SRE-Shield includes a production-grade secret interception layer that operates on every data ingestion path before any information reaches the LLM, the vector index, or the persistent database.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7F1D1D"/>
          </w:tcPr>
          <w:p>
            <w:r>
              <w:rPr>
                <w:b/>
                <w:color w:val="FFFFFF"/>
                <w:sz w:val="19"/>
              </w:rPr>
              <w:t>Threat</w:t>
            </w:r>
          </w:p>
        </w:tc>
        <w:tc>
          <w:tcPr>
            <w:tcW w:type="dxa" w:w="3135"/>
            <w:shd w:val="clear" w:color="auto" w:fill="7F1D1D"/>
          </w:tcPr>
          <w:p>
            <w:r>
              <w:rPr>
                <w:b/>
                <w:color w:val="FFFFFF"/>
                <w:sz w:val="19"/>
              </w:rPr>
              <w:t>Detection Pattern</w:t>
            </w:r>
          </w:p>
        </w:tc>
        <w:tc>
          <w:tcPr>
            <w:tcW w:type="dxa" w:w="3135"/>
            <w:shd w:val="clear" w:color="auto" w:fill="7F1D1D"/>
          </w:tcPr>
          <w:p>
            <w:r>
              <w:rPr>
                <w:b/>
                <w:color w:val="FFFFFF"/>
                <w:sz w:val="19"/>
              </w:rPr>
              <w:t>Replacement</w:t>
            </w:r>
          </w:p>
        </w:tc>
      </w:tr>
      <w:tr>
        <w:tc>
          <w:tcPr>
            <w:tcW w:type="dxa" w:w="3135"/>
          </w:tcPr>
          <w:p>
            <w:r>
              <w:rPr>
                <w:b/>
                <w:sz w:val="18"/>
              </w:rPr>
              <w:t>Passwords in key=value</w:t>
            </w:r>
          </w:p>
        </w:tc>
        <w:tc>
          <w:tcPr>
            <w:tcW w:type="dxa" w:w="3135"/>
          </w:tcPr>
          <w:p>
            <w:r>
              <w:rPr>
                <w:sz w:val="18"/>
              </w:rPr>
              <w:t>password=..., passwd=..., db_pass=...</w:t>
            </w:r>
          </w:p>
        </w:tc>
        <w:tc>
          <w:tcPr>
            <w:tcW w:type="dxa" w:w="3135"/>
          </w:tcPr>
          <w:p>
            <w:r>
              <w:rPr>
                <w:rFonts w:ascii="Courier New" w:hAnsi="Courier New"/>
                <w:color w:val="065F46"/>
                <w:sz w:val="18"/>
              </w:rPr>
              <w:t>[REDACTED_SECRET]</w:t>
            </w:r>
          </w:p>
        </w:tc>
      </w:tr>
      <w:tr>
        <w:tc>
          <w:tcPr>
            <w:tcW w:type="dxa" w:w="3135"/>
          </w:tcPr>
          <w:p>
            <w:r>
              <w:rPr>
                <w:b/>
                <w:sz w:val="18"/>
              </w:rPr>
              <w:t>Basic Auth URLs</w:t>
            </w:r>
          </w:p>
        </w:tc>
        <w:tc>
          <w:tcPr>
            <w:tcW w:type="dxa" w:w="3135"/>
          </w:tcPr>
          <w:p>
            <w:r>
              <w:rPr>
                <w:sz w:val="18"/>
              </w:rPr>
              <w:t>http://user:password@host</w:t>
            </w:r>
          </w:p>
        </w:tc>
        <w:tc>
          <w:tcPr>
            <w:tcW w:type="dxa" w:w="3135"/>
          </w:tcPr>
          <w:p>
            <w:r>
              <w:rPr>
                <w:rFonts w:ascii="Courier New" w:hAnsi="Courier New"/>
                <w:color w:val="065F46"/>
                <w:sz w:val="18"/>
              </w:rPr>
              <w:t>http://user:[REDACTED_AUTH]@host</w:t>
            </w:r>
          </w:p>
        </w:tc>
      </w:tr>
      <w:tr>
        <w:tc>
          <w:tcPr>
            <w:tcW w:type="dxa" w:w="3135"/>
          </w:tcPr>
          <w:p>
            <w:r>
              <w:rPr>
                <w:b/>
                <w:sz w:val="18"/>
              </w:rPr>
              <w:t>Bearer Tokens</w:t>
            </w:r>
          </w:p>
        </w:tc>
        <w:tc>
          <w:tcPr>
            <w:tcW w:type="dxa" w:w="3135"/>
          </w:tcPr>
          <w:p>
            <w:r>
              <w:rPr>
                <w:sz w:val="18"/>
              </w:rPr>
              <w:t>Bearer [token string 15+ chars]</w:t>
            </w:r>
          </w:p>
        </w:tc>
        <w:tc>
          <w:tcPr>
            <w:tcW w:type="dxa" w:w="3135"/>
          </w:tcPr>
          <w:p>
            <w:r>
              <w:rPr>
                <w:rFonts w:ascii="Courier New" w:hAnsi="Courier New"/>
                <w:color w:val="065F46"/>
                <w:sz w:val="18"/>
              </w:rPr>
              <w:t>Bearer [REDACTED_BEARER_TOKEN]</w:t>
            </w:r>
          </w:p>
        </w:tc>
      </w:tr>
      <w:tr>
        <w:tc>
          <w:tcPr>
            <w:tcW w:type="dxa" w:w="3135"/>
          </w:tcPr>
          <w:p>
            <w:r>
              <w:rPr>
                <w:b/>
                <w:sz w:val="18"/>
              </w:rPr>
              <w:t>JWT Strings</w:t>
            </w:r>
          </w:p>
        </w:tc>
        <w:tc>
          <w:tcPr>
            <w:tcW w:type="dxa" w:w="3135"/>
          </w:tcPr>
          <w:p>
            <w:r>
              <w:rPr>
                <w:sz w:val="18"/>
              </w:rPr>
              <w:t>eyJ[...].eyJ[...].sig pattern</w:t>
            </w:r>
          </w:p>
        </w:tc>
        <w:tc>
          <w:tcPr>
            <w:tcW w:type="dxa" w:w="3135"/>
          </w:tcPr>
          <w:p>
            <w:r>
              <w:rPr>
                <w:rFonts w:ascii="Courier New" w:hAnsi="Courier New"/>
                <w:color w:val="065F46"/>
                <w:sz w:val="18"/>
              </w:rPr>
              <w:t>[REDACTED_JWT_TOKEN]</w:t>
            </w:r>
          </w:p>
        </w:tc>
      </w:tr>
      <w:tr>
        <w:tc>
          <w:tcPr>
            <w:tcW w:type="dxa" w:w="3135"/>
          </w:tcPr>
          <w:p>
            <w:r>
              <w:rPr>
                <w:b/>
                <w:sz w:val="18"/>
              </w:rPr>
              <w:t>Groq / OpenAI API Keys</w:t>
            </w:r>
          </w:p>
        </w:tc>
        <w:tc>
          <w:tcPr>
            <w:tcW w:type="dxa" w:w="3135"/>
          </w:tcPr>
          <w:p>
            <w:r>
              <w:rPr>
                <w:sz w:val="18"/>
              </w:rPr>
              <w:t>gsk_..., sk-... prefixes</w:t>
            </w:r>
          </w:p>
        </w:tc>
        <w:tc>
          <w:tcPr>
            <w:tcW w:type="dxa" w:w="3135"/>
          </w:tcPr>
          <w:p>
            <w:r>
              <w:rPr>
                <w:rFonts w:ascii="Courier New" w:hAnsi="Courier New"/>
                <w:color w:val="065F46"/>
                <w:sz w:val="18"/>
              </w:rPr>
              <w:t>[REDACTED_API_KEY]</w:t>
            </w:r>
          </w:p>
        </w:tc>
      </w:tr>
      <w:tr>
        <w:tc>
          <w:tcPr>
            <w:tcW w:type="dxa" w:w="3135"/>
          </w:tcPr>
          <w:p>
            <w:r>
              <w:rPr>
                <w:b/>
                <w:sz w:val="18"/>
              </w:rPr>
              <w:t>AWS Access Key IDs</w:t>
            </w:r>
          </w:p>
        </w:tc>
        <w:tc>
          <w:tcPr>
            <w:tcW w:type="dxa" w:w="3135"/>
          </w:tcPr>
          <w:p>
            <w:r>
              <w:rPr>
                <w:sz w:val="18"/>
              </w:rPr>
              <w:t>AKIA[A-Z0-9]{16}</w:t>
            </w:r>
          </w:p>
        </w:tc>
        <w:tc>
          <w:tcPr>
            <w:tcW w:type="dxa" w:w="3135"/>
          </w:tcPr>
          <w:p>
            <w:r>
              <w:rPr>
                <w:rFonts w:ascii="Courier New" w:hAnsi="Courier New"/>
                <w:color w:val="065F46"/>
                <w:sz w:val="18"/>
              </w:rPr>
              <w:t>[REDACTED_AWS_KEY_ID]</w:t>
            </w:r>
          </w:p>
        </w:tc>
      </w:tr>
      <w:tr>
        <w:tc>
          <w:tcPr>
            <w:tcW w:type="dxa" w:w="3135"/>
          </w:tcPr>
          <w:p>
            <w:r>
              <w:rPr>
                <w:b/>
                <w:sz w:val="18"/>
              </w:rPr>
              <w:t>PEM Private Keys</w:t>
            </w:r>
          </w:p>
        </w:tc>
        <w:tc>
          <w:tcPr>
            <w:tcW w:type="dxa" w:w="3135"/>
          </w:tcPr>
          <w:p>
            <w:r>
              <w:rPr>
                <w:sz w:val="18"/>
              </w:rPr>
              <w:t>-----BEGIN PRIVATE KEY----- block</w:t>
            </w:r>
          </w:p>
        </w:tc>
        <w:tc>
          <w:tcPr>
            <w:tcW w:type="dxa" w:w="3135"/>
          </w:tcPr>
          <w:p>
            <w:r>
              <w:rPr>
                <w:rFonts w:ascii="Courier New" w:hAnsi="Courier New"/>
                <w:color w:val="065F46"/>
                <w:sz w:val="18"/>
              </w:rPr>
              <w:t>[REDACTED_PRIVATE_KEY_BLOCK]</w:t>
            </w:r>
          </w:p>
        </w:tc>
      </w:tr>
      <w:tr>
        <w:tc>
          <w:tcPr>
            <w:tcW w:type="dxa" w:w="3135"/>
          </w:tcPr>
          <w:p>
            <w:r>
              <w:rPr>
                <w:b/>
                <w:sz w:val="18"/>
              </w:rPr>
              <w:t>Credit Card Numbers</w:t>
            </w:r>
          </w:p>
        </w:tc>
        <w:tc>
          <w:tcPr>
            <w:tcW w:type="dxa" w:w="3135"/>
          </w:tcPr>
          <w:p>
            <w:r>
              <w:rPr>
                <w:sz w:val="18"/>
              </w:rPr>
              <w:t>16-digit card number pattern</w:t>
            </w:r>
          </w:p>
        </w:tc>
        <w:tc>
          <w:tcPr>
            <w:tcW w:type="dxa" w:w="3135"/>
          </w:tcPr>
          <w:p>
            <w:r>
              <w:rPr>
                <w:rFonts w:ascii="Courier New" w:hAnsi="Courier New"/>
                <w:color w:val="065F46"/>
                <w:sz w:val="18"/>
              </w:rPr>
              <w:t>[REDACTED_CREDIT_CARD]</w:t>
            </w:r>
          </w:p>
        </w:tc>
      </w:tr>
      <w:tr>
        <w:tc>
          <w:tcPr>
            <w:tcW w:type="dxa" w:w="3135"/>
          </w:tcPr>
          <w:p>
            <w:r>
              <w:rPr>
                <w:b/>
                <w:sz w:val="18"/>
              </w:rPr>
              <w:t>Email Addresses (PII)</w:t>
            </w:r>
          </w:p>
        </w:tc>
        <w:tc>
          <w:tcPr>
            <w:tcW w:type="dxa" w:w="3135"/>
          </w:tcPr>
          <w:p>
            <w:r>
              <w:rPr>
                <w:sz w:val="18"/>
              </w:rPr>
              <w:t>user@domain.com format</w:t>
            </w:r>
          </w:p>
        </w:tc>
        <w:tc>
          <w:tcPr>
            <w:tcW w:type="dxa" w:w="3135"/>
          </w:tcPr>
          <w:p>
            <w:r>
              <w:rPr>
                <w:rFonts w:ascii="Courier New" w:hAnsi="Courier New"/>
                <w:color w:val="065F46"/>
                <w:sz w:val="18"/>
              </w:rPr>
              <w:t>[REDACTED_EMAIL]</w:t>
            </w:r>
          </w:p>
        </w:tc>
      </w:tr>
      <w:tr>
        <w:tc>
          <w:tcPr>
            <w:tcW w:type="dxa" w:w="3135"/>
          </w:tcPr>
          <w:p>
            <w:r>
              <w:rPr>
                <w:b/>
                <w:sz w:val="18"/>
              </w:rPr>
              <w:t>DB Connection Strings</w:t>
            </w:r>
          </w:p>
        </w:tc>
        <w:tc>
          <w:tcPr>
            <w:tcW w:type="dxa" w:w="3135"/>
          </w:tcPr>
          <w:p>
            <w:r>
              <w:rPr>
                <w:sz w:val="18"/>
              </w:rPr>
              <w:t>postgres://user:pass@host</w:t>
            </w:r>
          </w:p>
        </w:tc>
        <w:tc>
          <w:tcPr>
            <w:tcW w:type="dxa" w:w="3135"/>
          </w:tcPr>
          <w:p>
            <w:r>
              <w:rPr>
                <w:rFonts w:ascii="Courier New" w:hAnsi="Courier New"/>
                <w:color w:val="065F46"/>
                <w:sz w:val="18"/>
              </w:rPr>
              <w:t>postgres://user:[REDACTED_PASSWORD]@host</w:t>
            </w:r>
          </w:p>
        </w:tc>
      </w:tr>
    </w:tbl>
    <w:p/>
    <w:p>
      <w:pPr>
        <w:spacing w:after="120"/>
      </w:pPr>
      <w:r>
        <w:rPr>
          <w:b w:val="0"/>
          <w:i/>
          <w:color w:val="1F2937"/>
          <w:sz w:val="21"/>
        </w:rPr>
        <w:t>Additionally, every action — incident ingestion, AI diagnosis, human approval, command execution, post-mortem approval, and memory retention — is written to an immutable audit log with actor identity, timestamp, and action details.</w:t>
      </w:r>
    </w:p>
    <w:p>
      <w:r>
        <w:br w:type="page"/>
      </w:r>
    </w:p>
    <w:p>
      <w:pPr>
        <w:pStyle w:val="Heading1"/>
        <w:spacing w:before="280" w:after="120"/>
      </w:pPr>
      <w:r>
        <w:rPr>
          <w:b/>
          <w:color w:val="1E3A5F"/>
        </w:rPr>
        <w:t>10.  How to Run the Application</w:t>
      </w:r>
    </w:p>
    <w:p>
      <w:pPr>
        <w:pStyle w:val="Heading2"/>
        <w:spacing w:before="280" w:after="120"/>
      </w:pPr>
      <w:r>
        <w:rPr>
          <w:b/>
          <w:color w:val="2563EB"/>
        </w:rPr>
        <w:t>10.1  Prerequisites</w:t>
      </w:r>
    </w:p>
    <w:p>
      <w:pPr>
        <w:pStyle w:val="ListBullet"/>
        <w:spacing w:after="60"/>
      </w:pPr>
      <w:r>
        <w:rPr>
          <w:color w:val="374151"/>
          <w:sz w:val="21"/>
        </w:rPr>
        <w:t>Python 3.10 or higher</w:t>
      </w:r>
    </w:p>
    <w:p>
      <w:pPr>
        <w:pStyle w:val="ListBullet"/>
        <w:spacing w:after="60"/>
      </w:pPr>
      <w:r>
        <w:rPr>
          <w:color w:val="374151"/>
          <w:sz w:val="21"/>
        </w:rPr>
        <w:t>pip (included with Python)</w:t>
      </w:r>
    </w:p>
    <w:p>
      <w:pPr>
        <w:pStyle w:val="ListBullet"/>
        <w:spacing w:after="60"/>
      </w:pPr>
      <w:r>
        <w:rPr>
          <w:color w:val="374151"/>
          <w:sz w:val="21"/>
        </w:rPr>
        <w:t>Internet access for pip install (offline packages can be bundled separately)</w:t>
      </w:r>
    </w:p>
    <w:p>
      <w:pPr>
        <w:pStyle w:val="Heading2"/>
        <w:spacing w:before="280" w:after="120"/>
      </w:pPr>
      <w:r>
        <w:rPr>
          <w:b/>
          <w:color w:val="2563EB"/>
        </w:rPr>
        <w:t>10.2  Installation</w:t>
      </w:r>
    </w:p>
    <w:p>
      <w:pPr>
        <w:spacing w:after="120"/>
      </w:pPr>
      <w:r>
        <w:rPr>
          <w:b/>
          <w:i w:val="0"/>
          <w:color w:val="1F2937"/>
          <w:sz w:val="21"/>
        </w:rPr>
        <w:t>Step 1 — Install dependencies:</w:t>
      </w:r>
    </w:p>
    <w:p>
      <w:pPr>
        <w:spacing w:before="80" w:after="80"/>
        <w:ind w:left="432"/>
        <w:shd w:val="clear" w:color="auto" w:fill="EFF6FF"/>
      </w:pPr>
      <w:r>
        <w:rPr>
          <w:rFonts w:ascii="Courier New" w:hAnsi="Courier New"/>
          <w:color w:val="1E40AF"/>
          <w:sz w:val="17"/>
        </w:rPr>
        <w:t>pip install -r requirements.txt</w:t>
      </w:r>
    </w:p>
    <w:p>
      <w:pPr>
        <w:spacing w:after="120"/>
      </w:pPr>
      <w:r>
        <w:rPr>
          <w:b/>
          <w:i w:val="0"/>
          <w:color w:val="1F2937"/>
          <w:sz w:val="21"/>
        </w:rPr>
        <w:t>Step 2 — Configure environment variables:</w:t>
      </w:r>
    </w:p>
    <w:p>
      <w:pPr>
        <w:spacing w:after="120"/>
      </w:pPr>
      <w:r>
        <w:rPr>
          <w:b w:val="0"/>
          <w:i w:val="0"/>
          <w:color w:val="1F2937"/>
          <w:sz w:val="21"/>
        </w:rPr>
        <w:t>Copy .env.example to .env. Only GROQ_API_KEY is optional. The app works fully offline without it.</w:t>
      </w:r>
    </w:p>
    <w:p>
      <w:pPr>
        <w:spacing w:before="80" w:after="80"/>
        <w:ind w:left="432"/>
        <w:shd w:val="clear" w:color="auto" w:fill="EFF6FF"/>
      </w:pPr>
      <w:r>
        <w:rPr>
          <w:rFonts w:ascii="Courier New" w:hAnsi="Courier New"/>
          <w:color w:val="1E40AF"/>
          <w:sz w:val="17"/>
        </w:rPr>
        <w:t>GROQ_API_KEY=               # Optional: Groq cloud inference (fallback heuristic engine runs offline)</w:t>
        <w:br/>
        <w:t>GROQ_MODEL=llama-3.3-70b-versatile</w:t>
        <w:br/>
        <w:t>DATABASE_URL=sqlite+aiosqlite:///./data/sre_shield.db</w:t>
        <w:br/>
        <w:t>HINDSIGHT_API_KEY=          # Optional: remote Hindsight cloud sync (local 4-network memory works without it)</w:t>
        <w:br/>
        <w:t>SIMULATION_MODE=true        # Ensures no real cluster commands are executed</w:t>
      </w:r>
    </w:p>
    <w:p>
      <w:pPr>
        <w:spacing w:after="120"/>
      </w:pPr>
      <w:r>
        <w:rPr>
          <w:b/>
          <w:i w:val="0"/>
          <w:color w:val="1F2937"/>
          <w:sz w:val="21"/>
        </w:rPr>
        <w:t>Step 3 — Launch (single command):</w:t>
      </w:r>
    </w:p>
    <w:p>
      <w:pPr>
        <w:spacing w:before="80" w:after="80"/>
        <w:ind w:left="432"/>
        <w:shd w:val="clear" w:color="auto" w:fill="EFF6FF"/>
      </w:pPr>
      <w:r>
        <w:rPr>
          <w:rFonts w:ascii="Courier New" w:hAnsi="Courier New"/>
          <w:color w:val="1E40AF"/>
          <w:sz w:val="17"/>
        </w:rPr>
        <w:t>python run.py</w:t>
      </w:r>
    </w:p>
    <w:p>
      <w:pPr>
        <w:spacing w:after="120"/>
      </w:pPr>
      <w:r>
        <w:rPr>
          <w:b w:val="0"/>
          <w:i w:val="0"/>
          <w:color w:val="1F2937"/>
          <w:sz w:val="21"/>
        </w:rPr>
        <w:t>This command automatically initialises the database, seeds 10 historical incidents and 5 runbooks, pre-warms the Hindsight memory index, launches the FastAPI backend on port 8000, and opens the Streamlit dashboard on port 8501.</w:t>
      </w:r>
    </w:p>
    <w:p>
      <w:pPr>
        <w:pStyle w:val="Heading2"/>
        <w:spacing w:before="280" w:after="120"/>
      </w:pPr>
      <w:r>
        <w:rPr>
          <w:b/>
          <w:color w:val="2563EB"/>
        </w:rPr>
        <w:t>10.3  Access URLs</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b/>
                <w:color w:val="FFFFFF"/>
              </w:rPr>
              <w:t>Service</w:t>
            </w:r>
          </w:p>
        </w:tc>
        <w:tc>
          <w:tcPr>
            <w:tcW w:type="dxa" w:w="4703"/>
            <w:shd w:val="clear" w:color="auto" w:fill="1E3A5F"/>
          </w:tcPr>
          <w:p>
            <w:r>
              <w:rPr>
                <w:b/>
                <w:color w:val="FFFFFF"/>
              </w:rPr>
              <w:t>URL</w:t>
            </w:r>
          </w:p>
        </w:tc>
      </w:tr>
      <w:tr>
        <w:tc>
          <w:tcPr>
            <w:tcW w:type="dxa" w:w="4703"/>
          </w:tcPr>
          <w:p>
            <w:r>
              <w:rPr>
                <w:sz w:val="20"/>
              </w:rPr>
              <w:t>SRE-Shield Dashboard (Frontend)</w:t>
            </w:r>
          </w:p>
        </w:tc>
        <w:tc>
          <w:tcPr>
            <w:tcW w:type="dxa" w:w="4703"/>
          </w:tcPr>
          <w:p>
            <w:r>
              <w:rPr>
                <w:rFonts w:ascii="Courier New" w:hAnsi="Courier New"/>
                <w:color w:val="1E40AF"/>
                <w:sz w:val="20"/>
              </w:rPr>
              <w:t>http://localhost:8501</w:t>
            </w:r>
          </w:p>
        </w:tc>
      </w:tr>
      <w:tr>
        <w:tc>
          <w:tcPr>
            <w:tcW w:type="dxa" w:w="4703"/>
          </w:tcPr>
          <w:p>
            <w:r>
              <w:rPr>
                <w:sz w:val="20"/>
              </w:rPr>
              <w:t>FastAPI REST API</w:t>
            </w:r>
          </w:p>
        </w:tc>
        <w:tc>
          <w:tcPr>
            <w:tcW w:type="dxa" w:w="4703"/>
          </w:tcPr>
          <w:p>
            <w:r>
              <w:rPr>
                <w:rFonts w:ascii="Courier New" w:hAnsi="Courier New"/>
                <w:color w:val="1E40AF"/>
                <w:sz w:val="20"/>
              </w:rPr>
              <w:t>http://127.0.0.1:8000</w:t>
            </w:r>
          </w:p>
        </w:tc>
      </w:tr>
      <w:tr>
        <w:tc>
          <w:tcPr>
            <w:tcW w:type="dxa" w:w="4703"/>
          </w:tcPr>
          <w:p>
            <w:r>
              <w:rPr>
                <w:sz w:val="20"/>
              </w:rPr>
              <w:t>Interactive API Documentation</w:t>
            </w:r>
          </w:p>
        </w:tc>
        <w:tc>
          <w:tcPr>
            <w:tcW w:type="dxa" w:w="4703"/>
          </w:tcPr>
          <w:p>
            <w:r>
              <w:rPr>
                <w:rFonts w:ascii="Courier New" w:hAnsi="Courier New"/>
                <w:color w:val="1E40AF"/>
                <w:sz w:val="20"/>
              </w:rPr>
              <w:t>http://127.0.0.1:8000/docs</w:t>
            </w:r>
          </w:p>
        </w:tc>
      </w:tr>
      <w:tr>
        <w:tc>
          <w:tcPr>
            <w:tcW w:type="dxa" w:w="4703"/>
          </w:tcPr>
          <w:p>
            <w:r>
              <w:rPr>
                <w:sz w:val="20"/>
              </w:rPr>
              <w:t>Health Check Endpoint</w:t>
            </w:r>
          </w:p>
        </w:tc>
        <w:tc>
          <w:tcPr>
            <w:tcW w:type="dxa" w:w="4703"/>
          </w:tcPr>
          <w:p>
            <w:r>
              <w:rPr>
                <w:rFonts w:ascii="Courier New" w:hAnsi="Courier New"/>
                <w:color w:val="1E40AF"/>
                <w:sz w:val="20"/>
              </w:rPr>
              <w:t>http://127.0.0.1:8000/api/health</w:t>
            </w:r>
          </w:p>
        </w:tc>
      </w:tr>
    </w:tbl>
    <w:p/>
    <w:p>
      <w:r>
        <w:br w:type="page"/>
      </w:r>
    </w:p>
    <w:p>
      <w:pPr>
        <w:pStyle w:val="Heading1"/>
        <w:spacing w:before="280" w:after="120"/>
      </w:pPr>
      <w:r>
        <w:rPr>
          <w:b/>
          <w:color w:val="1E3A5F"/>
        </w:rPr>
        <w:t>11.  Key Differentiators</w:t>
      </w:r>
    </w:p>
    <w:p>
      <w:pPr>
        <w:spacing w:after="120"/>
      </w:pPr>
      <w:r>
        <w:rPr>
          <w:b w:val="0"/>
          <w:i w:val="0"/>
          <w:color w:val="1F2937"/>
          <w:sz w:val="21"/>
        </w:rPr>
        <w:t>The following table summarises why SRE-Shield is fundamentally different from every other AI-powered DevOps tool built on standard LLM or RAG architectures.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3A5F"/>
          </w:tcPr>
          <w:p>
            <w:r>
              <w:rPr>
                <w:b/>
                <w:color w:val="FFFFFF"/>
                <w:sz w:val="18"/>
              </w:rPr>
              <w:t>Dimension</w:t>
            </w:r>
          </w:p>
        </w:tc>
        <w:tc>
          <w:tcPr>
            <w:tcW w:type="dxa" w:w="2351"/>
            <w:shd w:val="clear" w:color="auto" w:fill="7F1D1D"/>
          </w:tcPr>
          <w:p>
            <w:r>
              <w:rPr>
                <w:b/>
                <w:color w:val="FFFFFF"/>
                <w:sz w:val="18"/>
              </w:rPr>
              <w:t>Generic Chatbot</w:t>
            </w:r>
          </w:p>
        </w:tc>
        <w:tc>
          <w:tcPr>
            <w:tcW w:type="dxa" w:w="2351"/>
            <w:shd w:val="clear" w:color="auto" w:fill="7F1D1D"/>
          </w:tcPr>
          <w:p>
            <w:r>
              <w:rPr>
                <w:b/>
                <w:color w:val="FFFFFF"/>
                <w:sz w:val="18"/>
              </w:rPr>
              <w:t>Standard RAG</w:t>
            </w:r>
          </w:p>
        </w:tc>
        <w:tc>
          <w:tcPr>
            <w:tcW w:type="dxa" w:w="2351"/>
            <w:shd w:val="clear" w:color="auto" w:fill="064E3B"/>
          </w:tcPr>
          <w:p>
            <w:r>
              <w:rPr>
                <w:b/>
                <w:color w:val="FFFFFF"/>
                <w:sz w:val="18"/>
              </w:rPr>
              <w:t>SRE-Shield (Hindsight)</w:t>
            </w:r>
          </w:p>
        </w:tc>
      </w:tr>
      <w:tr>
        <w:tc>
          <w:tcPr>
            <w:tcW w:type="dxa" w:w="2351"/>
          </w:tcPr>
          <w:p>
            <w:r>
              <w:rPr>
                <w:b/>
                <w:sz w:val="18"/>
              </w:rPr>
              <w:t>Root Cause Accuracy</w:t>
            </w:r>
          </w:p>
        </w:tc>
        <w:tc>
          <w:tcPr>
            <w:tcW w:type="dxa" w:w="2351"/>
          </w:tcPr>
          <w:p>
            <w:r>
              <w:rPr>
                <w:color w:val="7F1D1D"/>
                <w:sz w:val="18"/>
              </w:rPr>
              <w:t>40% – Hallucination-prone</w:t>
            </w:r>
          </w:p>
        </w:tc>
        <w:tc>
          <w:tcPr>
            <w:tcW w:type="dxa" w:w="2351"/>
          </w:tcPr>
          <w:p>
            <w:r>
              <w:rPr>
                <w:color w:val="7F1D1D"/>
                <w:sz w:val="18"/>
              </w:rPr>
              <w:t>60% – Uncertain relevance</w:t>
            </w:r>
          </w:p>
        </w:tc>
        <w:tc>
          <w:tcPr>
            <w:tcW w:type="dxa" w:w="2351"/>
          </w:tcPr>
          <w:p>
            <w:r>
              <w:rPr>
                <w:b/>
                <w:color w:val="064E3B"/>
                <w:sz w:val="18"/>
              </w:rPr>
              <w:t>94–98% – Grounded in verified outcomes</w:t>
            </w:r>
          </w:p>
        </w:tc>
      </w:tr>
      <w:tr>
        <w:tc>
          <w:tcPr>
            <w:tcW w:type="dxa" w:w="2351"/>
          </w:tcPr>
          <w:p>
            <w:r>
              <w:rPr>
                <w:b/>
                <w:sz w:val="18"/>
              </w:rPr>
              <w:t>Memory Model</w:t>
            </w:r>
          </w:p>
        </w:tc>
        <w:tc>
          <w:tcPr>
            <w:tcW w:type="dxa" w:w="2351"/>
          </w:tcPr>
          <w:p>
            <w:r>
              <w:rPr>
                <w:color w:val="7F1D1D"/>
                <w:sz w:val="18"/>
              </w:rPr>
              <w:t>None – stateless per session</w:t>
            </w:r>
          </w:p>
        </w:tc>
        <w:tc>
          <w:tcPr>
            <w:tcW w:type="dxa" w:w="2351"/>
          </w:tcPr>
          <w:p>
            <w:r>
              <w:rPr>
                <w:color w:val="7F1D1D"/>
                <w:sz w:val="18"/>
              </w:rPr>
              <w:t>Flat vector chunks – static</w:t>
            </w:r>
          </w:p>
        </w:tc>
        <w:tc>
          <w:tcPr>
            <w:tcW w:type="dxa" w:w="2351"/>
          </w:tcPr>
          <w:p>
            <w:r>
              <w:rPr>
                <w:b/>
                <w:color w:val="064E3B"/>
                <w:sz w:val="18"/>
              </w:rPr>
              <w:t>4 structured cognitive networks – live</w:t>
            </w:r>
          </w:p>
        </w:tc>
      </w:tr>
      <w:tr>
        <w:tc>
          <w:tcPr>
            <w:tcW w:type="dxa" w:w="2351"/>
          </w:tcPr>
          <w:p>
            <w:r>
              <w:rPr>
                <w:b/>
                <w:sz w:val="18"/>
              </w:rPr>
              <w:t>Self-Learning</w:t>
            </w:r>
          </w:p>
        </w:tc>
        <w:tc>
          <w:tcPr>
            <w:tcW w:type="dxa" w:w="2351"/>
          </w:tcPr>
          <w:p>
            <w:r>
              <w:rPr>
                <w:color w:val="7F1D1D"/>
                <w:sz w:val="18"/>
              </w:rPr>
              <w:t>Zero – no retention</w:t>
            </w:r>
          </w:p>
        </w:tc>
        <w:tc>
          <w:tcPr>
            <w:tcW w:type="dxa" w:w="2351"/>
          </w:tcPr>
          <w:p>
            <w:r>
              <w:rPr>
                <w:color w:val="7F1D1D"/>
                <w:sz w:val="18"/>
              </w:rPr>
              <w:t>Manual re-indexing required</w:t>
            </w:r>
          </w:p>
        </w:tc>
        <w:tc>
          <w:tcPr>
            <w:tcW w:type="dxa" w:w="2351"/>
          </w:tcPr>
          <w:p>
            <w:r>
              <w:rPr>
                <w:b/>
                <w:color w:val="064E3B"/>
                <w:sz w:val="18"/>
              </w:rPr>
              <w:t>Closed-loop on every resolved incident</w:t>
            </w:r>
          </w:p>
        </w:tc>
      </w:tr>
      <w:tr>
        <w:tc>
          <w:tcPr>
            <w:tcW w:type="dxa" w:w="2351"/>
          </w:tcPr>
          <w:p>
            <w:r>
              <w:rPr>
                <w:b/>
                <w:sz w:val="18"/>
              </w:rPr>
              <w:t>Secret Protection</w:t>
            </w:r>
          </w:p>
        </w:tc>
        <w:tc>
          <w:tcPr>
            <w:tcW w:type="dxa" w:w="2351"/>
          </w:tcPr>
          <w:p>
            <w:r>
              <w:rPr>
                <w:color w:val="7F1D1D"/>
                <w:sz w:val="18"/>
              </w:rPr>
              <w:t>Raw secrets sent to LLM API</w:t>
            </w:r>
          </w:p>
        </w:tc>
        <w:tc>
          <w:tcPr>
            <w:tcW w:type="dxa" w:w="2351"/>
          </w:tcPr>
          <w:p>
            <w:r>
              <w:rPr>
                <w:color w:val="7F1D1D"/>
                <w:sz w:val="18"/>
              </w:rPr>
              <w:t>Secrets embedded in vector store</w:t>
            </w:r>
          </w:p>
        </w:tc>
        <w:tc>
          <w:tcPr>
            <w:tcW w:type="dxa" w:w="2351"/>
          </w:tcPr>
          <w:p>
            <w:r>
              <w:rPr>
                <w:b/>
                <w:color w:val="064E3B"/>
                <w:sz w:val="18"/>
              </w:rPr>
              <w:t>Memory Defense sanitization before retention</w:t>
            </w:r>
          </w:p>
        </w:tc>
      </w:tr>
      <w:tr>
        <w:tc>
          <w:tcPr>
            <w:tcW w:type="dxa" w:w="2351"/>
          </w:tcPr>
          <w:p>
            <w:r>
              <w:rPr>
                <w:b/>
                <w:sz w:val="18"/>
              </w:rPr>
              <w:t>Production Safety</w:t>
            </w:r>
          </w:p>
        </w:tc>
        <w:tc>
          <w:tcPr>
            <w:tcW w:type="dxa" w:w="2351"/>
          </w:tcPr>
          <w:p>
            <w:r>
              <w:rPr>
                <w:color w:val="7F1D1D"/>
                <w:sz w:val="18"/>
              </w:rPr>
              <w:t>No guardrails</w:t>
            </w:r>
          </w:p>
        </w:tc>
        <w:tc>
          <w:tcPr>
            <w:tcW w:type="dxa" w:w="2351"/>
          </w:tcPr>
          <w:p>
            <w:r>
              <w:rPr>
                <w:color w:val="7F1D1D"/>
                <w:sz w:val="18"/>
              </w:rPr>
              <w:t>No execution layer</w:t>
            </w:r>
          </w:p>
        </w:tc>
        <w:tc>
          <w:tcPr>
            <w:tcW w:type="dxa" w:w="2351"/>
          </w:tcPr>
          <w:p>
            <w:r>
              <w:rPr>
                <w:b/>
                <w:color w:val="064E3B"/>
                <w:sz w:val="18"/>
              </w:rPr>
              <w:t>Human-in-the-loop approval + SIMULATION MODE</w:t>
            </w:r>
          </w:p>
        </w:tc>
      </w:tr>
      <w:tr>
        <w:tc>
          <w:tcPr>
            <w:tcW w:type="dxa" w:w="2351"/>
          </w:tcPr>
          <w:p>
            <w:r>
              <w:rPr>
                <w:b/>
                <w:sz w:val="18"/>
              </w:rPr>
              <w:t>Service Knowledge</w:t>
            </w:r>
          </w:p>
        </w:tc>
        <w:tc>
          <w:tcPr>
            <w:tcW w:type="dxa" w:w="2351"/>
          </w:tcPr>
          <w:p>
            <w:r>
              <w:rPr>
                <w:color w:val="7F1D1D"/>
                <w:sz w:val="18"/>
              </w:rPr>
              <w:t>No topology awareness</w:t>
            </w:r>
          </w:p>
        </w:tc>
        <w:tc>
          <w:tcPr>
            <w:tcW w:type="dxa" w:w="2351"/>
          </w:tcPr>
          <w:p>
            <w:r>
              <w:rPr>
                <w:color w:val="7F1D1D"/>
                <w:sz w:val="18"/>
              </w:rPr>
              <w:t>Generic documentation retrieval</w:t>
            </w:r>
          </w:p>
        </w:tc>
        <w:tc>
          <w:tcPr>
            <w:tcW w:type="dxa" w:w="2351"/>
          </w:tcPr>
          <w:p>
            <w:r>
              <w:rPr>
                <w:b/>
                <w:color w:val="064E3B"/>
                <w:sz w:val="18"/>
              </w:rPr>
              <w:t>Rolling entity profiles with failure mode library</w:t>
            </w:r>
          </w:p>
        </w:tc>
      </w:tr>
      <w:tr>
        <w:tc>
          <w:tcPr>
            <w:tcW w:type="dxa" w:w="2351"/>
          </w:tcPr>
          <w:p>
            <w:r>
              <w:rPr>
                <w:b/>
                <w:sz w:val="18"/>
              </w:rPr>
              <w:t>Transparency</w:t>
            </w:r>
          </w:p>
        </w:tc>
        <w:tc>
          <w:tcPr>
            <w:tcW w:type="dxa" w:w="2351"/>
          </w:tcPr>
          <w:p>
            <w:r>
              <w:rPr>
                <w:color w:val="7F1D1D"/>
                <w:sz w:val="18"/>
              </w:rPr>
              <w:t>Opaque similarity score</w:t>
            </w:r>
          </w:p>
        </w:tc>
        <w:tc>
          <w:tcPr>
            <w:tcW w:type="dxa" w:w="2351"/>
          </w:tcPr>
          <w:p>
            <w:r>
              <w:rPr>
                <w:color w:val="7F1D1D"/>
                <w:sz w:val="18"/>
              </w:rPr>
              <w:t>Ranked chunks – no audit trail</w:t>
            </w:r>
          </w:p>
        </w:tc>
        <w:tc>
          <w:tcPr>
            <w:tcW w:type="dxa" w:w="2351"/>
          </w:tcPr>
          <w:p>
            <w:r>
              <w:rPr>
                <w:b/>
                <w:color w:val="064E3B"/>
                <w:sz w:val="18"/>
              </w:rPr>
              <w:t>Cited incident IDs, recall count, confidence score</w:t>
            </w:r>
          </w:p>
        </w:tc>
      </w:tr>
    </w:tbl>
    <w:p/>
    <w:p>
      <w:r>
        <w:br w:type="page"/>
      </w:r>
    </w:p>
    <w:p>
      <w:pPr>
        <w:pStyle w:val="Heading1"/>
        <w:spacing w:before="280" w:after="120"/>
      </w:pPr>
      <w:r>
        <w:rPr>
          <w:b/>
          <w:color w:val="1E3A5F"/>
        </w:rPr>
        <w:t>12.  Summary</w:t>
      </w:r>
    </w:p>
    <w:p>
      <w:pPr>
        <w:spacing w:after="120"/>
      </w:pPr>
      <w:r>
        <w:rPr>
          <w:b w:val="0"/>
          <w:i w:val="0"/>
          <w:color w:val="1F2937"/>
          <w:sz w:val="21"/>
        </w:rPr>
        <w:t>SRE-Shield demonstrates that production incident response does not have to start from zero every time an alert fires. By combining the Hindsight Agent Memory architecture with Groq LLM inference, Memory Defense security, and a Human-in-the-Loop approval gate, the platform achieves something no stateless chatbot or standard RAG pipeline can match: a system that genuinely learns from every resolved incident and applies that learning automatically to the next one.</w:t>
      </w:r>
    </w:p>
    <w:p>
      <w:pPr>
        <w:spacing w:after="120"/>
      </w:pPr>
      <w:r>
        <w:rPr>
          <w:b w:val="0"/>
          <w:i w:val="0"/>
          <w:color w:val="1F2937"/>
          <w:sz w:val="21"/>
        </w:rPr>
        <w:t>The result is a measurable, demonstrable reduction in MTTR — from hours of manual triage and tribal knowledge recovery to minutes of AI-guided, memory-augmented diagnosis and approved, verified remediation.</w:t>
      </w:r>
    </w:p>
    <w:tbl>
      <w:tblPr>
        <w:tblW w:type="auto" w:w="0"/>
        <w:jc w:val="left"/>
        <w:tblLook w:firstColumn="1" w:firstRow="1" w:lastColumn="0" w:lastRow="0" w:noHBand="0" w:noVBand="1" w:val="04A0"/>
      </w:tblPr>
      <w:tblGrid>
        <w:gridCol w:w="9406"/>
      </w:tblGrid>
      <w:tr>
        <w:tc>
          <w:tcPr>
            <w:tcW w:type="dxa" w:w="9406"/>
            <w:shd w:val="clear" w:color="auto" w:fill="F0FDF4"/>
            <w:tcBorders>
              <w:top w:val="single" w:sz="6" w:space="0" w:color="059669"/>
              <w:left w:val="single" w:sz="6" w:space="0" w:color="059669"/>
              <w:bottom w:val="single" w:sz="6" w:space="0" w:color="059669"/>
              <w:right w:val="single" w:sz="6" w:space="0" w:color="059669"/>
            </w:tcBorders>
          </w:tcPr>
          <w:p/>
          <w:p/>
          <w:p>
            <w:pPr>
              <w:spacing w:after="80"/>
            </w:pPr>
            <w:r>
              <w:rPr>
                <w:b/>
                <w:color w:val="064E3B"/>
                <w:sz w:val="20"/>
              </w:rPr>
              <w:t>The SRE-Shield Promise</w:t>
            </w:r>
          </w:p>
          <w:p>
            <w:pPr>
              <w:spacing w:after="40"/>
            </w:pPr>
            <w:r>
              <w:rPr>
                <w:color w:val="1F2937"/>
                <w:sz w:val="19"/>
              </w:rPr>
              <w:t>Every incident resolved today makes the next incident faster to resolve.</w:t>
            </w:r>
          </w:p>
          <w:p>
            <w:pPr>
              <w:spacing w:after="40"/>
            </w:pPr>
            <w:r>
              <w:rPr>
                <w:color w:val="1F2937"/>
                <w:sz w:val="19"/>
              </w:rPr>
              <w:t>Every post-mortem approved adds a permanent, searchable, structured lesson to the memory bank.</w:t>
            </w:r>
          </w:p>
          <w:p>
            <w:pPr>
              <w:spacing w:after="40"/>
            </w:pPr>
            <w:r>
              <w:rPr>
                <w:color w:val="1F2937"/>
                <w:sz w:val="19"/>
              </w:rPr>
              <w:t>Every engineer who responds to an alert stands on the shoulders of every SRE who came before them.</w:t>
            </w:r>
          </w:p>
          <w:p>
            <w:pPr>
              <w:spacing w:after="40"/>
            </w:pPr>
            <w:r>
              <w:rPr>
                <w:color w:val="1F2937"/>
                <w:sz w:val="19"/>
              </w:rPr>
              <w:t>No secret ever leaks into the memory layer.</w:t>
            </w:r>
          </w:p>
          <w:p>
            <w:pPr>
              <w:spacing w:after="40"/>
            </w:pPr>
            <w:r>
              <w:rPr>
                <w:color w:val="1F2937"/>
                <w:sz w:val="19"/>
              </w:rPr>
              <w:t>No destructive command ever runs without a human authorising it.</w:t>
            </w:r>
          </w:p>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