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60"/>
        <w:jc w:val="center"/>
      </w:pPr>
      <w:r>
        <w:rPr>
          <w:rFonts w:ascii="Arial" w:cs="Arial" w:eastAsia="Arial" w:hAnsi="Arial"/>
          <w:b/>
          <w:bCs/>
          <w:color w:val="1F4E79"/>
          <w:sz w:val="52"/>
          <w:szCs w:val="52"/>
        </w:rPr>
        <w:t xml:space="preserve">JIOTEL FIBRE</w:t>
      </w:r>
    </w:p>
    <w:p>
      <w:pPr>
        <w:spacing w:after="80"/>
        <w:jc w:val="center"/>
      </w:pPr>
      <w:r>
        <w:rPr>
          <w:rFonts w:ascii="Arial" w:cs="Arial" w:eastAsia="Arial" w:hAnsi="Arial"/>
          <w:b/>
          <w:bCs/>
          <w:color w:val="2E75B6"/>
          <w:sz w:val="44"/>
          <w:szCs w:val="44"/>
        </w:rPr>
        <w:t xml:space="preserve">Fault Management System</w:t>
      </w:r>
    </w:p>
    <w:p>
      <w:pPr>
        <w:spacing w:after="40"/>
        <w:jc w:val="center"/>
      </w:pPr>
      <w:r>
        <w:rPr>
          <w:rFonts w:ascii="Arial" w:cs="Arial" w:eastAsia="Arial" w:hAnsi="Arial"/>
          <w:color w:val="595959"/>
          <w:sz w:val="32"/>
          <w:szCs w:val="32"/>
        </w:rPr>
        <w:t xml:space="preserve">High Level Design Document</w:t>
      </w:r>
    </w:p>
    <w:p>
      <w:pPr>
        <w:spacing w:after="80" w:before="0"/>
      </w:pPr>
    </w:p>
    <w:p>
      <w:pPr>
        <w:pBdr>
          <w:bottom w:val="single" w:color="2E75B6" w:sz="12" w:space="1"/>
        </w:pBdr>
        <w:spacing w:after="0" w:before="0"/>
      </w:pPr>
    </w:p>
    <w:p>
      <w:pPr>
        <w:spacing w:after="80" w:before="0"/>
      </w:pPr>
    </w:p>
    <w:tbl>
      <w:tblPr>
        <w:tblW w:type="dxa" w:w="4000"/>
        <w:jc w:val="center"/>
        <w:tblBorders>
          <w:top w:val="none"/>
          <w:left w:val="none"/>
          <w:bottom w:val="none"/>
          <w:right w:val="none"/>
          <w:insideH w:val="single" w:color="auto" w:sz="4"/>
          <w:insideV w:val="single" w:color="auto" w:sz="4"/>
        </w:tblBorders>
      </w:tblPr>
      <w:tblGrid>
        <w:gridCol w:w="4000"/>
      </w:tblGrid>
      <w:tr>
        <w:tc>
          <w:tcPr>
            <w:tcW w:type="dxa" w:w="4000"/>
            <w:tcBorders>
              <w:top w:val="single" w:color="70AD47" w:sz="4"/>
              <w:left w:val="single" w:color="70AD47" w:sz="4"/>
              <w:bottom w:val="single" w:color="70AD47" w:sz="4"/>
              <w:right w:val="single" w:color="70AD47" w:sz="4"/>
            </w:tcBorders>
            <w:shd w:fill="E2EFDA" w:val="clear"/>
            <w:tcMar>
              <w:top w:type="dxa" w:w="120"/>
              <w:left w:type="dxa" w:w="200"/>
              <w:bottom w:type="dxa" w:w="120"/>
              <w:right w:type="dxa" w:w="200"/>
            </w:tcMar>
          </w:tcPr>
          <w:p>
            <w:pPr>
              <w:jc w:val="center"/>
            </w:pPr>
            <w:r>
              <w:rPr>
                <w:rFonts w:ascii="Arial" w:cs="Arial" w:eastAsia="Arial" w:hAnsi="Arial"/>
                <w:b/>
                <w:bCs/>
                <w:color w:val="375623"/>
                <w:sz w:val="22"/>
                <w:szCs w:val="22"/>
              </w:rPr>
              <w:t xml:space="preserve">STATUS: </w:t>
            </w:r>
            <w:r>
              <w:rPr>
                <w:rFonts w:ascii="Arial" w:cs="Arial" w:eastAsia="Arial" w:hAnsi="Arial"/>
                <w:b/>
                <w:bCs/>
                <w:color w:val="375623"/>
                <w:sz w:val="22"/>
                <w:szCs w:val="22"/>
              </w:rPr>
              <w:t xml:space="preserve">APPROVED</w:t>
            </w:r>
          </w:p>
        </w:tc>
      </w:tr>
    </w:tbl>
    <w:p>
      <w:pPr>
        <w:spacing w:after="160" w:before="0"/>
      </w:pP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Version</w:t>
            </w:r>
          </w:p>
        </w:tc>
        <w:tc>
          <w:tcPr>
            <w:tcW w:type="dxa" w:w="4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2.4</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Last Modified</w:t>
            </w:r>
          </w:p>
        </w:tc>
        <w:tc>
          <w:tcPr>
            <w:tcW w:type="dxa" w:w="4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March 14, 2026</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Project Epic</w:t>
            </w:r>
          </w:p>
        </w:tc>
        <w:tc>
          <w:tcPr>
            <w:tcW w:type="dxa" w:w="4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JIOTEL-EPIC-9482 — Next-Gen Fibre Fault Resolution</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Author</w:t>
            </w:r>
          </w:p>
        </w:tc>
        <w:tc>
          <w:tcPr>
            <w:tcW w:type="dxa" w:w="4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Enterprise Architecture Team</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Target Audience</w:t>
            </w:r>
          </w:p>
        </w:tc>
        <w:tc>
          <w:tcPr>
            <w:tcW w:type="dxa" w:w="4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Development, QA, Network Operations Centre (NOC)</w:t>
            </w:r>
          </w:p>
        </w:tc>
      </w:tr>
    </w:tbl>
    <w:p>
      <w:pPr>
        <w:spacing w:after="400" w:before="0"/>
      </w:pPr>
    </w:p>
    <w:p>
      <w:pPr>
        <w:jc w:val="center"/>
      </w:pPr>
      <w:r>
        <w:rPr>
          <w:rFonts w:ascii="Arial" w:cs="Arial" w:eastAsia="Arial" w:hAnsi="Arial"/>
          <w:i/>
          <w:iCs/>
          <w:color w:val="A6A6A6"/>
          <w:sz w:val="16"/>
          <w:szCs w:val="16"/>
        </w:rPr>
        <w:t xml:space="preserve">CONFIDENTIAL — FOR INTERNAL USE ONLY</w:t>
      </w:r>
    </w:p>
    <w:p>
      <w:r>
        <w:br w:type="page"/>
      </w:r>
    </w:p>
    <w:p>
      <w:pPr>
        <w:pStyle w:val="Heading1"/>
        <w:spacing w:before="320" w:after="160"/>
      </w:pPr>
      <w:r>
        <w:rPr>
          <w:rFonts w:ascii="Arial" w:cs="Arial" w:eastAsia="Arial" w:hAnsi="Arial"/>
        </w:rPr>
        <w:t xml:space="preserve">Document Control</w:t>
      </w:r>
    </w:p>
    <w:p>
      <w:pPr>
        <w:pBdr>
          <w:bottom w:val="single" w:color="2E75B6" w:sz="6" w:space="1"/>
        </w:pBdr>
        <w:spacing w:after="0" w:before="0"/>
      </w:pPr>
    </w:p>
    <w:p>
      <w:pPr>
        <w:spacing w:after="80" w:before="0"/>
      </w:pPr>
    </w:p>
    <w:p>
      <w:pPr>
        <w:spacing w:after="160"/>
      </w:pPr>
      <w:r>
        <w:rPr>
          <w:rFonts w:ascii="Arial" w:cs="Arial" w:eastAsia="Arial" w:hAnsi="Arial"/>
          <w:color w:val="595959"/>
          <w:sz w:val="20"/>
          <w:szCs w:val="20"/>
        </w:rPr>
        <w:t xml:space="preserve">The following table records all revisions made to this document since initial release.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960"/>
        <w:gridCol w:w="2400"/>
      </w:tblGrid>
      <w:tr>
        <w:tc>
          <w:tcPr>
            <w:tcW w:type="dxa" w:w="1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Version</w:t>
            </w:r>
          </w:p>
        </w:tc>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Date</w:t>
            </w:r>
          </w:p>
        </w:tc>
        <w:tc>
          <w:tcPr>
            <w:tcW w:type="dxa" w:w="39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Description of Changes</w:t>
            </w:r>
          </w:p>
        </w:tc>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Author</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Jan 10, 2026</w:t>
            </w:r>
          </w:p>
        </w:tc>
        <w:tc>
          <w:tcPr>
            <w:tcW w:type="dxa" w:w="3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Initial draft — architecture baseline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Enterprise Architecture Team</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2.0</w:t>
            </w:r>
          </w:p>
        </w:tc>
        <w:tc>
          <w:tcPr>
            <w:tcW w:type="dxa" w:w="18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Feb 02, 2026</w:t>
            </w:r>
          </w:p>
        </w:tc>
        <w:tc>
          <w:tcPr>
            <w:tcW w:type="dxa" w:w="3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Migrated from synchronous chain to Event-Driven Architecture (EDA) via Kafka</w:t>
            </w:r>
          </w:p>
        </w:tc>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Enterprise Architecture Team</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2.3</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Feb 28, 2026</w:t>
            </w:r>
          </w:p>
        </w:tc>
        <w:tc>
          <w:tcPr>
            <w:tcW w:type="dxa" w:w="3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Added Idempotency constraint; refined API payload spec</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Enterprise Architecture Team</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2.4</w:t>
            </w:r>
          </w:p>
        </w:tc>
        <w:tc>
          <w:tcPr>
            <w:tcW w:type="dxa" w:w="18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Mar 14, 2026</w:t>
            </w:r>
          </w:p>
        </w:tc>
        <w:tc>
          <w:tcPr>
            <w:tcW w:type="dxa" w:w="3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Final review updates; document approved</w:t>
            </w:r>
          </w:p>
        </w:tc>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Enterprise Architecture Team</w:t>
            </w:r>
          </w:p>
        </w:tc>
      </w:tr>
    </w:tbl>
    <w:p>
      <w:pPr>
        <w:spacing w:after="200" w:before="0"/>
      </w:pPr>
    </w:p>
    <w:p>
      <w:r>
        <w:br w:type="page"/>
      </w:r>
    </w:p>
    <w:p>
      <w:pPr>
        <w:pStyle w:val="Heading1"/>
        <w:spacing w:before="320" w:after="160"/>
      </w:pPr>
      <w:r>
        <w:rPr>
          <w:rFonts w:ascii="Arial" w:cs="Arial" w:eastAsia="Arial" w:hAnsi="Arial"/>
        </w:rPr>
        <w:t xml:space="preserve">1.  Executive Summary</w:t>
      </w:r>
    </w:p>
    <w:p>
      <w:pPr>
        <w:pBdr>
          <w:bottom w:val="single" w:color="2E75B6" w:sz="6" w:space="1"/>
        </w:pBdr>
        <w:spacing w:after="0" w:before="0"/>
      </w:pPr>
    </w:p>
    <w:p>
      <w:pPr>
        <w:spacing w:after="80" w:before="0"/>
      </w:pPr>
    </w:p>
    <w:p>
      <w:pPr>
        <w:spacing w:after="160"/>
      </w:pPr>
      <w:r>
        <w:rPr>
          <w:rFonts w:ascii="Arial" w:cs="Arial" w:eastAsia="Arial" w:hAnsi="Arial"/>
          <w:color w:val="595959"/>
          <w:sz w:val="20"/>
          <w:szCs w:val="20"/>
        </w:rPr>
        <w:t xml:space="preserve">This document defines the High Level Design (HLD) for the Jiotel Fibre Fault Management System (FMS). The FMS enables authenticated Customer Service Agents (CSAs) to log into the CRM portal, execute real-time diagnostic checks against a customer's Optical Network Terminal (ONT), and create fault tickets backed by an automated downstream workflow.</w:t>
      </w:r>
    </w:p>
    <w:p>
      <w:pPr>
        <w:spacing w:after="80" w:before="0"/>
      </w:pPr>
    </w:p>
    <w:p>
      <w:pPr>
        <w:spacing w:after="160"/>
      </w:pPr>
      <w:r>
        <w:rPr>
          <w:rFonts w:ascii="Arial" w:cs="Arial" w:eastAsia="Arial" w:hAnsi="Arial"/>
          <w:color w:val="595959"/>
          <w:sz w:val="20"/>
          <w:szCs w:val="20"/>
        </w:rPr>
        <w:t xml:space="preserve">To satisfy enterprise performance requirements and eliminate latency bottlenecks introduced by sequential synchronous API chains, the system adopts an Event-Driven Architecture (EDA) powered by Apache Kafka. Once a fault ticket is submitted, three independent downstream consumers process their respective tasks concurrently: engineering ticket creation in ServiceNow, field technician slot reservation in the Workforce Management system, and customer notification via SMS and email.</w:t>
      </w:r>
    </w:p>
    <w:p>
      <w:pPr>
        <w:spacing w:after="80" w:before="0"/>
      </w:pPr>
    </w:p>
    <w:p>
      <w:pPr>
        <w:spacing w:after="160"/>
      </w:pPr>
      <w:r>
        <w:rPr>
          <w:rFonts w:ascii="Arial" w:cs="Arial" w:eastAsia="Arial" w:hAnsi="Arial"/>
          <w:color w:val="595959"/>
          <w:sz w:val="20"/>
          <w:szCs w:val="20"/>
        </w:rPr>
        <w:t xml:space="preserve">Key design goals addressed in this document are:</w:t>
      </w:r>
    </w:p>
    <w:p>
      <w:pPr>
        <w:spacing w:after="40" w:before="0"/>
      </w:pPr>
    </w:p>
    <w:p>
      <w:pPr>
        <w:pStyle w:val="ListParagraph"/>
        <w:numPr>
          <w:ilvl w:val="0"/>
          <w:numId w:val="2"/>
        </w:numPr>
        <w:spacing w:after="80"/>
      </w:pPr>
      <w:r>
        <w:rPr>
          <w:rFonts w:ascii="Arial" w:cs="Arial" w:eastAsia="Arial" w:hAnsi="Arial"/>
          <w:color w:val="595959"/>
          <w:sz w:val="20"/>
          <w:szCs w:val="20"/>
        </w:rPr>
        <w:t xml:space="preserve">Sub-second ticket acknowledgement to the CSA via HTTP 202 Accepted.</w:t>
      </w:r>
    </w:p>
    <w:p>
      <w:pPr>
        <w:pStyle w:val="ListParagraph"/>
        <w:numPr>
          <w:ilvl w:val="0"/>
          <w:numId w:val="2"/>
        </w:numPr>
        <w:spacing w:after="80"/>
      </w:pPr>
      <w:r>
        <w:rPr>
          <w:rFonts w:ascii="Arial" w:cs="Arial" w:eastAsia="Arial" w:hAnsi="Arial"/>
          <w:color w:val="595959"/>
          <w:sz w:val="20"/>
          <w:szCs w:val="20"/>
        </w:rPr>
        <w:t xml:space="preserve">Horizontal scalability of all Kafka consumer groups independent of each other.</w:t>
      </w:r>
    </w:p>
    <w:p>
      <w:pPr>
        <w:pStyle w:val="ListParagraph"/>
        <w:numPr>
          <w:ilvl w:val="0"/>
          <w:numId w:val="2"/>
        </w:numPr>
        <w:spacing w:after="80"/>
      </w:pPr>
      <w:r>
        <w:rPr>
          <w:rFonts w:ascii="Arial" w:cs="Arial" w:eastAsia="Arial" w:hAnsi="Arial"/>
          <w:color w:val="595959"/>
          <w:sz w:val="20"/>
          <w:szCs w:val="20"/>
        </w:rPr>
        <w:t xml:space="preserve">Fault isolation — a failure in the Notification consumer must not affect the Ticketing consumer.</w:t>
      </w:r>
    </w:p>
    <w:p>
      <w:pPr>
        <w:pStyle w:val="ListParagraph"/>
        <w:numPr>
          <w:ilvl w:val="0"/>
          <w:numId w:val="2"/>
        </w:numPr>
        <w:spacing w:after="80"/>
      </w:pPr>
      <w:r>
        <w:rPr>
          <w:rFonts w:ascii="Arial" w:cs="Arial" w:eastAsia="Arial" w:hAnsi="Arial"/>
          <w:color w:val="595959"/>
          <w:sz w:val="20"/>
          <w:szCs w:val="20"/>
        </w:rPr>
        <w:t xml:space="preserve">Idempotent fault submission to prevent duplicate tickets on accidental double-submission.</w:t>
      </w:r>
    </w:p>
    <w:p>
      <w:pPr>
        <w:pStyle w:val="ListParagraph"/>
        <w:numPr>
          <w:ilvl w:val="0"/>
          <w:numId w:val="2"/>
        </w:numPr>
        <w:spacing w:after="80"/>
      </w:pPr>
      <w:r>
        <w:rPr>
          <w:rFonts w:ascii="Arial" w:cs="Arial" w:eastAsia="Arial" w:hAnsi="Arial"/>
          <w:color w:val="595959"/>
          <w:sz w:val="20"/>
          <w:szCs w:val="20"/>
        </w:rPr>
        <w:t xml:space="preserve">Graceful degradation of the Network Diagnostic API with a 5-second hard timeout.</w:t>
      </w:r>
    </w:p>
    <w:p>
      <w:pPr>
        <w:spacing w:after="200" w:before="0"/>
      </w:pPr>
    </w:p>
    <w:p>
      <w:r>
        <w:br w:type="page"/>
      </w:r>
    </w:p>
    <w:p>
      <w:pPr>
        <w:pStyle w:val="Heading1"/>
        <w:spacing w:before="320" w:after="160"/>
      </w:pPr>
      <w:r>
        <w:rPr>
          <w:rFonts w:ascii="Arial" w:cs="Arial" w:eastAsia="Arial" w:hAnsi="Arial"/>
        </w:rPr>
        <w:t xml:space="preserve">2.  Business Use Case: Agent Fault Creation</w:t>
      </w:r>
    </w:p>
    <w:p>
      <w:pPr>
        <w:pBdr>
          <w:bottom w:val="single" w:color="2E75B6" w:sz="6" w:space="1"/>
        </w:pBdr>
        <w:spacing w:after="0" w:before="0"/>
      </w:pPr>
    </w:p>
    <w:p>
      <w:pPr>
        <w:spacing w:after="80" w:before="0"/>
      </w:pPr>
    </w:p>
    <w:p>
      <w:pPr>
        <w:pStyle w:val="Heading2"/>
        <w:spacing w:before="200" w:after="100"/>
      </w:pPr>
      <w:r>
        <w:rPr>
          <w:rFonts w:ascii="Arial" w:cs="Arial" w:eastAsia="Arial" w:hAnsi="Arial"/>
        </w:rPr>
        <w:t xml:space="preserve">2.1  Pre-conditions</w:t>
      </w:r>
    </w:p>
    <w:p>
      <w:pPr>
        <w:spacing w:after="40" w:before="0"/>
      </w:pPr>
    </w:p>
    <w:p>
      <w:pPr>
        <w:pStyle w:val="ListParagraph"/>
        <w:numPr>
          <w:ilvl w:val="0"/>
          <w:numId w:val="2"/>
        </w:numPr>
        <w:spacing w:after="80"/>
      </w:pPr>
      <w:r>
        <w:rPr>
          <w:rFonts w:ascii="Arial" w:cs="Arial" w:eastAsia="Arial" w:hAnsi="Arial"/>
          <w:color w:val="595959"/>
          <w:sz w:val="20"/>
          <w:szCs w:val="20"/>
        </w:rPr>
        <w:t xml:space="preserve">The Customer Service Agent (CSA) is authenticated via Single Sign-On (SSO).</w:t>
      </w:r>
    </w:p>
    <w:p>
      <w:pPr>
        <w:pStyle w:val="ListParagraph"/>
        <w:numPr>
          <w:ilvl w:val="0"/>
          <w:numId w:val="2"/>
        </w:numPr>
        <w:spacing w:after="80"/>
      </w:pPr>
      <w:r>
        <w:rPr>
          <w:rFonts w:ascii="Arial" w:cs="Arial" w:eastAsia="Arial" w:hAnsi="Arial"/>
          <w:color w:val="595959"/>
          <w:sz w:val="20"/>
          <w:szCs w:val="20"/>
        </w:rPr>
        <w:t xml:space="preserve">The CSA JWT carries the ROLE_FAULT_WRITE permission validated by the Auth Gateway.</w:t>
      </w:r>
    </w:p>
    <w:p>
      <w:pPr>
        <w:pStyle w:val="ListParagraph"/>
        <w:numPr>
          <w:ilvl w:val="0"/>
          <w:numId w:val="2"/>
        </w:numPr>
        <w:spacing w:after="80"/>
      </w:pPr>
      <w:r>
        <w:rPr>
          <w:rFonts w:ascii="Arial" w:cs="Arial" w:eastAsia="Arial" w:hAnsi="Arial"/>
          <w:color w:val="595959"/>
          <w:sz w:val="20"/>
          <w:szCs w:val="20"/>
        </w:rPr>
        <w:t xml:space="preserve">The CSA has the Customer 360 Dashboard open for the relevant customer account.</w:t>
      </w:r>
    </w:p>
    <w:p>
      <w:pPr>
        <w:spacing w:after="80" w:before="0"/>
      </w:pPr>
    </w:p>
    <w:p>
      <w:pPr>
        <w:pStyle w:val="Heading2"/>
        <w:spacing w:before="200" w:after="100"/>
      </w:pPr>
      <w:r>
        <w:rPr>
          <w:rFonts w:ascii="Arial" w:cs="Arial" w:eastAsia="Arial" w:hAnsi="Arial"/>
        </w:rPr>
        <w:t xml:space="preserve">2.2  Actor</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Actor</w:t>
            </w:r>
          </w:p>
        </w:tc>
        <w:tc>
          <w:tcPr>
            <w:tcW w:type="dxa" w:w="71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Description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Customer Service Agent (CSA)</w:t>
            </w:r>
          </w:p>
        </w:tc>
        <w:tc>
          <w:tcPr>
            <w:tcW w:type="dxa" w:w="7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Internal Jiotel support staff member responsible for logging and escalating fibre fault incidents on behalf of end customers.</w:t>
            </w:r>
          </w:p>
        </w:tc>
      </w:tr>
    </w:tbl>
    <w:p>
      <w:pPr>
        <w:spacing w:after="100" w:before="0"/>
      </w:pPr>
    </w:p>
    <w:p>
      <w:pPr>
        <w:pStyle w:val="Heading2"/>
        <w:spacing w:before="200" w:after="100"/>
      </w:pPr>
      <w:r>
        <w:rPr>
          <w:rFonts w:ascii="Arial" w:cs="Arial" w:eastAsia="Arial" w:hAnsi="Arial"/>
        </w:rPr>
        <w:t xml:space="preserve">2.3  Main Success Scenario</w:t>
      </w:r>
    </w:p>
    <w:p>
      <w:pPr>
        <w:spacing w:after="40" w:before="0"/>
      </w:pPr>
    </w:p>
    <w:p>
      <w:pPr>
        <w:spacing w:after="160"/>
      </w:pPr>
      <w:r>
        <w:rPr>
          <w:rFonts w:ascii="Arial" w:cs="Arial" w:eastAsia="Arial" w:hAnsi="Arial"/>
          <w:color w:val="595959"/>
          <w:sz w:val="20"/>
          <w:szCs w:val="20"/>
        </w:rPr>
        <w:t xml:space="preserve">The following numbered steps describe the primary happy-path flow from the agent's perspective:</w:t>
      </w:r>
    </w:p>
    <w:p>
      <w:pPr>
        <w:spacing w:after="60" w:before="0"/>
      </w:pPr>
    </w:p>
    <w:p>
      <w:pPr>
        <w:pStyle w:val="ListParagraph"/>
        <w:numPr>
          <w:ilvl w:val="0"/>
          <w:numId w:val="3"/>
        </w:numPr>
        <w:spacing w:after="80"/>
      </w:pPr>
      <w:r>
        <w:rPr>
          <w:rFonts w:ascii="Arial" w:cs="Arial" w:eastAsia="Arial" w:hAnsi="Arial"/>
          <w:color w:val="595959"/>
          <w:sz w:val="20"/>
          <w:szCs w:val="20"/>
        </w:rPr>
        <w:t xml:space="preserve">Customer contacts Jiotel support, reporting a red PON indicator light on their fibre router (Loss of Signal — LOS condition).</w:t>
      </w:r>
    </w:p>
    <w:p>
      <w:pPr>
        <w:pStyle w:val="ListParagraph"/>
        <w:numPr>
          <w:ilvl w:val="0"/>
          <w:numId w:val="3"/>
        </w:numPr>
        <w:spacing w:after="80"/>
      </w:pPr>
      <w:r>
        <w:rPr>
          <w:rFonts w:ascii="Arial" w:cs="Arial" w:eastAsia="Arial" w:hAnsi="Arial"/>
          <w:color w:val="595959"/>
          <w:sz w:val="20"/>
          <w:szCs w:val="20"/>
        </w:rPr>
        <w:t xml:space="preserve">CSA searches the CRM using the customer's Fibre Account Number (FAN). The Customer 360 Dashboard is displayed.</w:t>
      </w:r>
    </w:p>
    <w:p>
      <w:pPr>
        <w:pStyle w:val="ListParagraph"/>
        <w:numPr>
          <w:ilvl w:val="0"/>
          <w:numId w:val="3"/>
        </w:numPr>
        <w:spacing w:after="80"/>
      </w:pPr>
      <w:r>
        <w:rPr>
          <w:rFonts w:ascii="Arial" w:cs="Arial" w:eastAsia="Arial" w:hAnsi="Arial"/>
          <w:color w:val="595959"/>
          <w:sz w:val="20"/>
          <w:szCs w:val="20"/>
        </w:rPr>
        <w:t xml:space="preserve">CSA clicks Run Line Test. The Network Diagnostic API polls the Optical Line Terminal (OLT) and queries the router's MAC address status.</w:t>
      </w:r>
    </w:p>
    <w:p>
      <w:pPr>
        <w:pStyle w:val="ListParagraph"/>
        <w:numPr>
          <w:ilvl w:val="0"/>
          <w:numId w:val="3"/>
        </w:numPr>
        <w:spacing w:after="80"/>
      </w:pPr>
      <w:r>
        <w:rPr>
          <w:rFonts w:ascii="Arial" w:cs="Arial" w:eastAsia="Arial" w:hAnsi="Arial"/>
          <w:color w:val="595959"/>
          <w:sz w:val="20"/>
          <w:szCs w:val="20"/>
        </w:rPr>
        <w:t xml:space="preserve">The system returns a diagnostic result: Device Offline / ERR_LOS_01.</w:t>
      </w:r>
    </w:p>
    <w:p>
      <w:pPr>
        <w:pStyle w:val="ListParagraph"/>
        <w:numPr>
          <w:ilvl w:val="0"/>
          <w:numId w:val="3"/>
        </w:numPr>
        <w:spacing w:after="80"/>
      </w:pPr>
      <w:r>
        <w:rPr>
          <w:rFonts w:ascii="Arial" w:cs="Arial" w:eastAsia="Arial" w:hAnsi="Arial"/>
          <w:color w:val="595959"/>
          <w:sz w:val="20"/>
          <w:szCs w:val="20"/>
        </w:rPr>
        <w:t xml:space="preserve">CSA documents troubleshooting actions in the Agent Notes field and clicks Raise Fault Ticket.</w:t>
      </w:r>
    </w:p>
    <w:p>
      <w:pPr>
        <w:pStyle w:val="ListParagraph"/>
        <w:numPr>
          <w:ilvl w:val="0"/>
          <w:numId w:val="3"/>
        </w:numPr>
        <w:spacing w:after="80"/>
      </w:pPr>
      <w:r>
        <w:rPr>
          <w:rFonts w:ascii="Arial" w:cs="Arial" w:eastAsia="Arial" w:hAnsi="Arial"/>
          <w:color w:val="595959"/>
          <w:sz w:val="20"/>
          <w:szCs w:val="20"/>
        </w:rPr>
        <w:t xml:space="preserve">The FMS Orchestrator validates the payload, persists idempotency metadata, and publishes a FaultCreatedEvent to the Kafka topic jiotel.fibre.faults.v1.</w:t>
      </w:r>
    </w:p>
    <w:p>
      <w:pPr>
        <w:pStyle w:val="ListParagraph"/>
        <w:numPr>
          <w:ilvl w:val="0"/>
          <w:numId w:val="3"/>
        </w:numPr>
        <w:spacing w:after="80"/>
      </w:pPr>
      <w:r>
        <w:rPr>
          <w:rFonts w:ascii="Arial" w:cs="Arial" w:eastAsia="Arial" w:hAnsi="Arial"/>
          <w:color w:val="595959"/>
          <w:sz w:val="20"/>
          <w:szCs w:val="20"/>
        </w:rPr>
        <w:t xml:space="preserve">The system responds to the UI with HTTP 202 Accepted and a Ticket Reference ID.</w:t>
      </w:r>
    </w:p>
    <w:p>
      <w:pPr>
        <w:pStyle w:val="ListParagraph"/>
        <w:numPr>
          <w:ilvl w:val="0"/>
          <w:numId w:val="3"/>
        </w:numPr>
        <w:spacing w:after="80"/>
      </w:pPr>
      <w:r>
        <w:rPr>
          <w:rFonts w:ascii="Arial" w:cs="Arial" w:eastAsia="Arial" w:hAnsi="Arial"/>
          <w:color w:val="595959"/>
          <w:sz w:val="20"/>
          <w:szCs w:val="20"/>
        </w:rPr>
        <w:t xml:space="preserve">The CSA confirms the ticket reference number to the customer and closes the call.</w:t>
      </w:r>
    </w:p>
    <w:p>
      <w:pPr>
        <w:spacing w:after="200" w:before="0"/>
      </w:pPr>
    </w:p>
    <w:p>
      <w:r>
        <w:br w:type="page"/>
      </w:r>
    </w:p>
    <w:p>
      <w:pPr>
        <w:pStyle w:val="Heading1"/>
        <w:spacing w:before="320" w:after="160"/>
      </w:pPr>
      <w:r>
        <w:rPr>
          <w:rFonts w:ascii="Arial" w:cs="Arial" w:eastAsia="Arial" w:hAnsi="Arial"/>
        </w:rPr>
        <w:t xml:space="preserve">3.  Enterprise Parallel Architecture</w:t>
      </w:r>
    </w:p>
    <w:p>
      <w:pPr>
        <w:pBdr>
          <w:bottom w:val="single" w:color="2E75B6" w:sz="6" w:space="1"/>
        </w:pBdr>
        <w:spacing w:after="0" w:before="0"/>
      </w:pPr>
    </w:p>
    <w:p>
      <w:pPr>
        <w:spacing w:after="80" w:before="0"/>
      </w:pPr>
    </w:p>
    <w:p>
      <w:pPr>
        <w:pStyle w:val="Heading2"/>
        <w:spacing w:before="200" w:after="100"/>
      </w:pPr>
      <w:r>
        <w:rPr>
          <w:rFonts w:ascii="Arial" w:cs="Arial" w:eastAsia="Arial" w:hAnsi="Arial"/>
        </w:rPr>
        <w:t xml:space="preserve">3.1  Architecture Pattern</w:t>
      </w:r>
    </w:p>
    <w:p>
      <w:pPr>
        <w:spacing w:after="40" w:before="0"/>
      </w:pPr>
    </w:p>
    <w:p>
      <w:pPr>
        <w:spacing w:after="160"/>
      </w:pPr>
      <w:r>
        <w:rPr>
          <w:rFonts w:ascii="Arial" w:cs="Arial" w:eastAsia="Arial" w:hAnsi="Arial"/>
          <w:color w:val="595959"/>
          <w:sz w:val="20"/>
          <w:szCs w:val="20"/>
        </w:rPr>
        <w:t xml:space="preserve">The FMS employs an Event-Driven Architecture (EDA) to decouple the fault submission path from downstream processing. This replaces a legacy synchronous API chain that incurred cumulative latency from sequential calls to ServiceNow, the Workforce Management system, and the Notification service.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BDD7EE" w:sz="1"/>
              <w:bottom w:val="single" w:color="BDD7EE" w:sz="1"/>
              <w:right w:val="single" w:color="BDD7EE" w:sz="1"/>
            </w:tcBorders>
            <w:shd w:fill="EBF3FB" w:val="clear"/>
            <w:tcMar>
              <w:top w:type="dxa" w:w="120"/>
              <w:left w:type="dxa" w:w="160"/>
              <w:bottom w:type="dxa" w:w="120"/>
              <w:right w:type="dxa" w:w="160"/>
            </w:tcMar>
          </w:tcPr>
          <w:p>
            <w:r>
              <w:rPr>
                <w:rFonts w:ascii="Arial" w:cs="Arial" w:eastAsia="Arial" w:hAnsi="Arial"/>
                <w:b/>
                <w:bCs/>
                <w:color w:val="2E75B6"/>
                <w:sz w:val="20"/>
                <w:szCs w:val="20"/>
              </w:rPr>
              <w:t xml:space="preserve">Architecture Decision Record</w:t>
            </w:r>
          </w:p>
          <w:p>
            <w:pPr>
              <w:spacing w:after="40" w:before="0"/>
            </w:pPr>
          </w:p>
          <w:p>
            <w:pPr>
              <w:spacing w:after="0"/>
            </w:pPr>
            <w:r>
              <w:rPr>
                <w:rFonts w:ascii="Arial" w:cs="Arial" w:eastAsia="Arial" w:hAnsi="Arial"/>
                <w:color w:val="595959"/>
                <w:sz w:val="20"/>
                <w:szCs w:val="20"/>
              </w:rPr>
              <w:t xml:space="preserve">Apache Kafka was selected as the message broker for the following reasons: (1) guaranteed at-least-once delivery with consumer offset management; (2) ability to replay events for audit or incident recovery; (3) independent consumer group scaling without affecting the producer; and (4) native support for topic partitioning to handle burst traffic during network incidents.</w:t>
            </w:r>
          </w:p>
        </w:tc>
      </w:tr>
    </w:tbl>
    <w:p>
      <w:pPr>
        <w:spacing w:after="100" w:before="0"/>
      </w:pPr>
    </w:p>
    <w:p>
      <w:pPr>
        <w:pStyle w:val="Heading2"/>
        <w:spacing w:before="200" w:after="100"/>
      </w:pPr>
      <w:r>
        <w:rPr>
          <w:rFonts w:ascii="Arial" w:cs="Arial" w:eastAsia="Arial" w:hAnsi="Arial"/>
        </w:rPr>
        <w:t xml:space="preserve">3.2  Event Flow</w:t>
      </w:r>
    </w:p>
    <w:p>
      <w:pPr>
        <w:spacing w:after="40" w:before="0"/>
      </w:pPr>
    </w:p>
    <w:p>
      <w:pPr>
        <w:spacing w:after="160"/>
      </w:pPr>
      <w:r>
        <w:rPr>
          <w:rFonts w:ascii="Arial" w:cs="Arial" w:eastAsia="Arial" w:hAnsi="Arial"/>
          <w:color w:val="595959"/>
          <w:sz w:val="20"/>
          <w:szCs w:val="20"/>
        </w:rPr>
        <w:t xml:space="preserve">The sequence of operations following a fault submission is as follows:</w:t>
      </w:r>
    </w:p>
    <w:p>
      <w:pPr>
        <w:spacing w:after="60" w:before="0"/>
      </w:pPr>
    </w:p>
    <w:p>
      <w:pPr>
        <w:pStyle w:val="ListParagraph"/>
        <w:numPr>
          <w:ilvl w:val="0"/>
          <w:numId w:val="2"/>
        </w:numPr>
        <w:spacing w:after="80"/>
      </w:pPr>
      <w:r>
        <w:rPr>
          <w:rFonts w:ascii="Arial" w:cs="Arial" w:eastAsia="Arial" w:hAnsi="Arial"/>
          <w:color w:val="595959"/>
          <w:sz w:val="20"/>
          <w:szCs w:val="20"/>
        </w:rPr>
        <w:t xml:space="preserve">The Agent UI submits the fault payload to the FMS Orchestrator via HTTPS REST (POST /api/v1/faults/raise).</w:t>
      </w:r>
    </w:p>
    <w:p>
      <w:pPr>
        <w:pStyle w:val="ListParagraph"/>
        <w:numPr>
          <w:ilvl w:val="0"/>
          <w:numId w:val="2"/>
        </w:numPr>
        <w:spacing w:after="80"/>
      </w:pPr>
      <w:r>
        <w:rPr>
          <w:rFonts w:ascii="Arial" w:cs="Arial" w:eastAsia="Arial" w:hAnsi="Arial"/>
          <w:color w:val="595959"/>
          <w:sz w:val="20"/>
          <w:szCs w:val="20"/>
        </w:rPr>
        <w:t xml:space="preserve">The FMS Orchestrator validates the JWT, runs idempotency checks, and publishes a FaultCreatedEvent to the Kafka topic jiotel.fibre.faults.v1.</w:t>
      </w:r>
    </w:p>
    <w:p>
      <w:pPr>
        <w:pStyle w:val="ListParagraph"/>
        <w:numPr>
          <w:ilvl w:val="0"/>
          <w:numId w:val="2"/>
        </w:numPr>
        <w:spacing w:after="80"/>
      </w:pPr>
      <w:r>
        <w:rPr>
          <w:rFonts w:ascii="Arial" w:cs="Arial" w:eastAsia="Arial" w:hAnsi="Arial"/>
          <w:color w:val="595959"/>
          <w:sz w:val="20"/>
          <w:szCs w:val="20"/>
        </w:rPr>
        <w:t xml:space="preserve">Three independent consumer groups subscribe to this topic and process the event in parallel: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760"/>
        <w:gridCol w:w="2760"/>
      </w:tblGrid>
      <w:tr>
        <w:tc>
          <w:tcPr>
            <w:tcW w:type="dxa" w:w="144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Consumer</w:t>
            </w:r>
          </w:p>
        </w:tc>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System</w:t>
            </w:r>
          </w:p>
        </w:tc>
        <w:tc>
          <w:tcPr>
            <w:tcW w:type="dxa" w:w="2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Responsibility</w:t>
            </w:r>
          </w:p>
        </w:tc>
        <w:tc>
          <w:tcPr>
            <w:tcW w:type="dxa" w:w="2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Failure Behaviour</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Thread A</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ServiceNow (ITSM)</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Creates the engineering trouble ticket</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Critical — ticket must remain open on downstream failures</w:t>
            </w:r>
          </w:p>
        </w:tc>
      </w:tr>
      <w:tr>
        <w:tc>
          <w:tcPr>
            <w:tcW w:type="dxa" w:w="14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Thread B</w:t>
            </w:r>
          </w:p>
        </w:tc>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Workforce Management</w:t>
            </w:r>
          </w:p>
        </w:tc>
        <w:tc>
          <w:tcPr>
            <w:tcW w:type="dxa" w:w="27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Reserves a field technician slot based on customer postcode</w:t>
            </w:r>
          </w:p>
        </w:tc>
        <w:tc>
          <w:tcPr>
            <w:tcW w:type="dxa" w:w="27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Non-critical — retried asynchronously</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Thread C</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Notification Service</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Sends SMS and email to customer with ticket reference</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Non-critical — queued for retry, does not roll back Thread A</w:t>
            </w:r>
          </w:p>
        </w:tc>
      </w:tr>
    </w:tbl>
    <w:p>
      <w:pPr>
        <w:spacing w:after="200" w:before="0"/>
      </w:pPr>
    </w:p>
    <w:p>
      <w:r>
        <w:br w:type="page"/>
      </w:r>
    </w:p>
    <w:p>
      <w:pPr>
        <w:pStyle w:val="Heading1"/>
        <w:spacing w:before="320" w:after="160"/>
      </w:pPr>
      <w:r>
        <w:rPr>
          <w:rFonts w:ascii="Arial" w:cs="Arial" w:eastAsia="Arial" w:hAnsi="Arial"/>
        </w:rPr>
        <w:t xml:space="preserve">4.  System Components &amp; Integration Points</w:t>
      </w:r>
    </w:p>
    <w:p>
      <w:pPr>
        <w:pBdr>
          <w:bottom w:val="single" w:color="2E75B6" w:sz="6" w:space="1"/>
        </w:pBdr>
        <w:spacing w:after="0" w:before="0"/>
      </w:pPr>
    </w:p>
    <w:p>
      <w:pPr>
        <w:spacing w:after="80" w:before="0"/>
      </w:pPr>
    </w:p>
    <w:p>
      <w:pPr>
        <w:spacing w:after="160"/>
      </w:pPr>
      <w:r>
        <w:rPr>
          <w:rFonts w:ascii="Arial" w:cs="Arial" w:eastAsia="Arial" w:hAnsi="Arial"/>
          <w:color w:val="595959"/>
          <w:sz w:val="20"/>
          <w:szCs w:val="20"/>
        </w:rPr>
        <w:t xml:space="preserve">The following table describes all principal components within the FMS scope, their roles, and the protocols used for integration.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Component</w:t>
            </w:r>
          </w:p>
        </w:tc>
        <w:tc>
          <w:tcPr>
            <w:tcW w:type="dxa" w:w="4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Description</w:t>
            </w:r>
          </w:p>
        </w:tc>
        <w:tc>
          <w:tcPr>
            <w:tcW w:type="dxa" w:w="2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Protocol / Technology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Agent UI Portal</w:t>
            </w:r>
          </w:p>
        </w:tc>
        <w:tc>
          <w:tcPr>
            <w:tcW w:type="dxa" w:w="4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React-based front-end micro-frontend embedded within the primary CRM application. Renders the Customer 360 Dashboard and fault submission form.</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HTTPS, REST</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Auth Gateway</w:t>
            </w:r>
          </w:p>
        </w:tc>
        <w:tc>
          <w:tcPr>
            <w:tcW w:type="dxa" w:w="4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Validates the agent's JWT, confirms the presence of the ROLE_FAULT_WRITE permission before any request reaches the FMS Orchestrator.</w:t>
            </w:r>
          </w:p>
        </w:tc>
        <w:tc>
          <w:tcPr>
            <w:tcW w:type="dxa" w:w="27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OAuth 2.0 / JWT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Network Diagnostic API</w:t>
            </w:r>
          </w:p>
        </w:tc>
        <w:tc>
          <w:tcPr>
            <w:tcW w:type="dxa" w:w="4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Integrates directly with the OSS to query the customer's router MAC address status against the Optical Line Terminal (OLT). Subject to a 5-second hard timeout.</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gRPC</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FMS Orchestrator</w:t>
            </w:r>
          </w:p>
        </w:tc>
        <w:tc>
          <w:tcPr>
            <w:tcW w:type="dxa" w:w="4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Node.js microservice acting as the system entry point. Validates the incoming payload, applies idempotency checks, and publishes FaultCreatedEvent to Kafka.</w:t>
            </w:r>
          </w:p>
        </w:tc>
        <w:tc>
          <w:tcPr>
            <w:tcW w:type="dxa" w:w="27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REST (inbound) / Kafka (outbound)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Kafka Message Broker</w:t>
            </w:r>
          </w:p>
        </w:tc>
        <w:tc>
          <w:tcPr>
            <w:tcW w:type="dxa" w:w="4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Central event bus. Topic: jiotel.fibre.faults.v1. Provides decoupled, at-least-once delivery to all downstream consumers.</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TCP (Kafka Protocol)</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ServiceNow (ITSM)</w:t>
            </w:r>
          </w:p>
        </w:tc>
        <w:tc>
          <w:tcPr>
            <w:tcW w:type="dxa" w:w="4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Enterprise IT Service Management platform. Receives Thread A events to create engineering trouble tickets.</w:t>
            </w:r>
          </w:p>
        </w:tc>
        <w:tc>
          <w:tcPr>
            <w:tcW w:type="dxa" w:w="27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REST (ServiceNow API)</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Workforce Management</w:t>
            </w:r>
          </w:p>
        </w:tc>
        <w:tc>
          <w:tcPr>
            <w:tcW w:type="dxa" w:w="4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Receives Thread B events to query field engineer availability by postcode and tentatively reserve a dispatch slot.</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REST</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Notification Service</w:t>
            </w:r>
          </w:p>
        </w:tc>
        <w:tc>
          <w:tcPr>
            <w:tcW w:type="dxa" w:w="4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Receives Thread C events to dispatch an SMS and email to the customer containing the fault reference number.</w:t>
            </w:r>
          </w:p>
        </w:tc>
        <w:tc>
          <w:tcPr>
            <w:tcW w:type="dxa" w:w="27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SMTP / SMS Gateway API</w:t>
            </w:r>
          </w:p>
        </w:tc>
      </w:tr>
    </w:tbl>
    <w:p>
      <w:pPr>
        <w:spacing w:after="200" w:before="0"/>
      </w:pPr>
    </w:p>
    <w:p>
      <w:r>
        <w:br w:type="page"/>
      </w:r>
    </w:p>
    <w:p>
      <w:pPr>
        <w:pStyle w:val="Heading1"/>
        <w:spacing w:before="320" w:after="160"/>
      </w:pPr>
      <w:r>
        <w:rPr>
          <w:rFonts w:ascii="Arial" w:cs="Arial" w:eastAsia="Arial" w:hAnsi="Arial"/>
        </w:rPr>
        <w:t xml:space="preserve">5.  API Specifications</w:t>
      </w:r>
    </w:p>
    <w:p>
      <w:pPr>
        <w:pBdr>
          <w:bottom w:val="single" w:color="2E75B6" w:sz="6" w:space="1"/>
        </w:pBdr>
        <w:spacing w:after="0" w:before="0"/>
      </w:pPr>
    </w:p>
    <w:p>
      <w:pPr>
        <w:spacing w:after="80" w:before="0"/>
      </w:pPr>
    </w:p>
    <w:p>
      <w:pPr>
        <w:pStyle w:val="Heading2"/>
        <w:spacing w:before="200" w:after="100"/>
      </w:pPr>
      <w:r>
        <w:rPr>
          <w:rFonts w:ascii="Arial" w:cs="Arial" w:eastAsia="Arial" w:hAnsi="Arial"/>
        </w:rPr>
        <w:t xml:space="preserve">5.1  POST /api/v1/faults/raise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Attribute</w:t>
            </w:r>
          </w:p>
        </w:tc>
        <w:tc>
          <w:tcPr>
            <w:tcW w:type="dxa" w:w="69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Method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POST</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Endpoint</w:t>
            </w:r>
          </w:p>
        </w:tc>
        <w:tc>
          <w:tcPr>
            <w:tcW w:type="dxa" w:w="6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/api/v1/faults/raise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Triggered By</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Agent clicking Submit on the Fault Submission form in the Agent UI Portal</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Authentication</w:t>
            </w:r>
          </w:p>
        </w:tc>
        <w:tc>
          <w:tcPr>
            <w:tcW w:type="dxa" w:w="6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Authorization: Bearer &lt;JWT&gt; — validated by Auth Gateway; requires ROLE_FAULT_WRITE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Success Response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HTTP 202 Accepted — ticket is being processed asynchronously by downstream consumers</w:t>
            </w:r>
          </w:p>
        </w:tc>
      </w:tr>
    </w:tbl>
    <w:p>
      <w:pPr>
        <w:spacing w:after="80" w:before="0"/>
      </w:pPr>
    </w:p>
    <w:p>
      <w:pPr>
        <w:pStyle w:val="Heading2"/>
        <w:spacing w:before="200" w:after="100"/>
      </w:pPr>
      <w:r>
        <w:rPr>
          <w:rFonts w:ascii="Arial" w:cs="Arial" w:eastAsia="Arial" w:hAnsi="Arial"/>
        </w:rPr>
        <w:t xml:space="preserve">5.2  Request Payload Schema</w:t>
      </w:r>
    </w:p>
    <w:p>
      <w:pPr>
        <w:spacing w:after="40" w:before="0"/>
      </w:pPr>
    </w:p>
    <w:p>
      <w:pPr>
        <w:spacing w:after="160"/>
      </w:pPr>
      <w:r>
        <w:rPr>
          <w:rFonts w:ascii="Arial" w:cs="Arial" w:eastAsia="Arial" w:hAnsi="Arial"/>
          <w:color w:val="595959"/>
          <w:sz w:val="20"/>
          <w:szCs w:val="20"/>
        </w:rPr>
        <w:t xml:space="preserve">The following table documents all fields in the request body (Content-Type: application/json):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40"/>
        <w:gridCol w:w="1440"/>
        <w:gridCol w:w="3720"/>
      </w:tblGrid>
      <w:tr>
        <w:tc>
          <w:tcPr>
            <w:tcW w:type="dxa" w:w="2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Field Name</w:t>
            </w:r>
          </w:p>
        </w:tc>
        <w:tc>
          <w:tcPr>
            <w:tcW w:type="dxa" w:w="144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Type</w:t>
            </w:r>
          </w:p>
        </w:tc>
        <w:tc>
          <w:tcPr>
            <w:tcW w:type="dxa" w:w="144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Required</w:t>
            </w:r>
          </w:p>
        </w:tc>
        <w:tc>
          <w:tcPr>
            <w:tcW w:type="dxa" w:w="372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Description</w:t>
            </w:r>
          </w:p>
        </w:tc>
      </w:tr>
      <w:tr>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fibreAccountNumber</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Yes</w:t>
            </w:r>
          </w:p>
        </w:tc>
        <w:tc>
          <w:tcPr>
            <w:tcW w:type="dxa" w:w="3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Unique identifier for the customer's fibre account. Format: JIO-FIB-XXXXXXX</w:t>
            </w:r>
          </w:p>
        </w:tc>
      </w:tr>
      <w:tr>
        <w:tc>
          <w:tcPr>
            <w:tcW w:type="dxa" w:w="27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diagnosticResultCode</w:t>
            </w:r>
          </w:p>
        </w:tc>
        <w:tc>
          <w:tcPr>
            <w:tcW w:type="dxa" w:w="14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14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Yes</w:t>
            </w:r>
          </w:p>
        </w:tc>
        <w:tc>
          <w:tcPr>
            <w:tcW w:type="dxa" w:w="372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Machine-readable diagnostic code returned by the Network Diagnostic API. E.g. ERR_LOS_01</w:t>
            </w:r>
          </w:p>
        </w:tc>
      </w:tr>
      <w:tr>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agentId</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Yes</w:t>
            </w:r>
          </w:p>
        </w:tc>
        <w:tc>
          <w:tcPr>
            <w:tcW w:type="dxa" w:w="3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Authenticated agent identifier from the CRM session. Format: AGT-XXXX</w:t>
            </w:r>
          </w:p>
        </w:tc>
      </w:tr>
      <w:tr>
        <w:tc>
          <w:tcPr>
            <w:tcW w:type="dxa" w:w="27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customerContact</w:t>
            </w:r>
          </w:p>
        </w:tc>
        <w:tc>
          <w:tcPr>
            <w:tcW w:type="dxa" w:w="14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14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Yes</w:t>
            </w:r>
          </w:p>
        </w:tc>
        <w:tc>
          <w:tcPr>
            <w:tcW w:type="dxa" w:w="372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Customer's registered mobile number in E.164 format. Used by the Notification Service.</w:t>
            </w:r>
          </w:p>
        </w:tc>
      </w:tr>
      <w:tr>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agentNotes</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w:t>
            </w:r>
          </w:p>
        </w:tc>
        <w:tc>
          <w:tcPr>
            <w:tcW w:type="dxa" w:w="3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Free-text troubleshooting notes entered by the CSA before submission. Max 1,000 characters.</w:t>
            </w:r>
          </w:p>
        </w:tc>
      </w:tr>
    </w:tbl>
    <w:p>
      <w:pPr>
        <w:spacing w:after="80" w:before="0"/>
      </w:pPr>
    </w:p>
    <w:p>
      <w:pPr>
        <w:pStyle w:val="Heading2"/>
        <w:spacing w:before="200" w:after="100"/>
      </w:pPr>
      <w:r>
        <w:rPr>
          <w:rFonts w:ascii="Arial" w:cs="Arial" w:eastAsia="Arial" w:hAnsi="Arial"/>
        </w:rPr>
        <w:t xml:space="preserve">5.3  Response Payload Schema</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40"/>
        <w:gridCol w:w="5160"/>
      </w:tblGrid>
      <w:tr>
        <w:tc>
          <w:tcPr>
            <w:tcW w:type="dxa" w:w="2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Field Name</w:t>
            </w:r>
          </w:p>
        </w:tc>
        <w:tc>
          <w:tcPr>
            <w:tcW w:type="dxa" w:w="144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Type</w:t>
            </w:r>
          </w:p>
        </w:tc>
        <w:tc>
          <w:tcPr>
            <w:tcW w:type="dxa" w:w="51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Description</w:t>
            </w:r>
          </w:p>
        </w:tc>
      </w:tr>
      <w:tr>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status</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5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Will be PROCESSING on a successful 202 response.</w:t>
            </w:r>
          </w:p>
        </w:tc>
      </w:tr>
      <w:tr>
        <w:tc>
          <w:tcPr>
            <w:tcW w:type="dxa" w:w="27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transactionId</w:t>
            </w:r>
          </w:p>
        </w:tc>
        <w:tc>
          <w:tcPr>
            <w:tcW w:type="dxa" w:w="14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51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System-generated unique reference in format TRX-XXXX-XXXX. Displayed to the CSA for call confirmation.</w:t>
            </w:r>
          </w:p>
        </w:tc>
      </w:tr>
      <w:tr>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message</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5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Human-readable status message confirming the fault has been queued for downstream processing.</w:t>
            </w:r>
          </w:p>
        </w:tc>
      </w:tr>
    </w:tbl>
    <w:p>
      <w:pPr>
        <w:spacing w:after="200" w:before="0"/>
      </w:pPr>
    </w:p>
    <w:p>
      <w:r>
        <w:br w:type="page"/>
      </w:r>
    </w:p>
    <w:p>
      <w:pPr>
        <w:pStyle w:val="Heading1"/>
        <w:spacing w:before="320" w:after="160"/>
      </w:pPr>
      <w:r>
        <w:rPr>
          <w:rFonts w:ascii="Arial" w:cs="Arial" w:eastAsia="Arial" w:hAnsi="Arial"/>
        </w:rPr>
        <w:t xml:space="preserve">6.  Error Handling &amp; System Constraints</w:t>
      </w:r>
    </w:p>
    <w:p>
      <w:pPr>
        <w:pBdr>
          <w:bottom w:val="single" w:color="2E75B6" w:sz="6" w:space="1"/>
        </w:pBdr>
        <w:spacing w:after="0" w:before="0"/>
      </w:pPr>
    </w:p>
    <w:p>
      <w:pPr>
        <w:spacing w:after="80" w:before="0"/>
      </w:pPr>
    </w:p>
    <w:p>
      <w:pPr>
        <w:spacing w:after="160"/>
      </w:pPr>
      <w:r>
        <w:rPr>
          <w:rFonts w:ascii="Arial" w:cs="Arial" w:eastAsia="Arial" w:hAnsi="Arial"/>
          <w:color w:val="595959"/>
          <w:sz w:val="20"/>
          <w:szCs w:val="20"/>
        </w:rPr>
        <w:t xml:space="preserve">This section defines the non-functional constraints and failure handling behaviours that all implementing teams must adhere 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760"/>
        <w:gridCol w:w="2640"/>
      </w:tblGrid>
      <w:tr>
        <w:tc>
          <w:tcPr>
            <w:tcW w:type="dxa" w:w="15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Constraint ID</w:t>
            </w:r>
          </w:p>
        </w:tc>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Area</w:t>
            </w:r>
          </w:p>
        </w:tc>
        <w:tc>
          <w:tcPr>
            <w:tcW w:type="dxa" w:w="2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Rule</w:t>
            </w:r>
          </w:p>
        </w:tc>
        <w:tc>
          <w:tcPr>
            <w:tcW w:type="dxa" w:w="264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Implementation Notes</w:t>
            </w:r>
          </w:p>
        </w:tc>
      </w:tr>
      <w:tr>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2E75B6"/>
                <w:sz w:val="20"/>
                <w:szCs w:val="20"/>
              </w:rPr>
              <w:t xml:space="preserve">CON-001</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Network Diagnostic Timeout</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If the OSS does not respond within 5.0 seconds, the UI must display 'Diagnostic Unavailable' and still permit manual fault submission.</w:t>
            </w:r>
          </w:p>
        </w:tc>
        <w:tc>
          <w:tcPr>
            <w:tcW w:type="dxa" w:w="26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Implement a client-side timeout on the gRPC call. The diagnosticResultCode field may be submitted as ERR_DIAG_UNAVAILABLE.</w:t>
            </w:r>
          </w:p>
        </w:tc>
      </w:tr>
      <w:tr>
        <w:tc>
          <w:tcPr>
            <w:tcW w:type="dxa" w:w="1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20"/>
                <w:szCs w:val="20"/>
              </w:rPr>
              <w:t xml:space="preserve">CON-002</w:t>
            </w:r>
          </w:p>
        </w:tc>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Idempotent Submission</w:t>
            </w:r>
          </w:p>
        </w:tc>
        <w:tc>
          <w:tcPr>
            <w:tcW w:type="dxa" w:w="27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endpoint must not create duplicate tickets for the same fibreAccountNumber within a rolling 10-minute deduplication window.</w:t>
            </w:r>
          </w:p>
        </w:tc>
        <w:tc>
          <w:tcPr>
            <w:tcW w:type="dxa" w:w="26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Store a composite key of (fibreAccountNumber + timestamp bucket) in a distributed cache (e.g. Redis) with TTL of 10 minutes. Return the original transactionId on duplicate.</w:t>
            </w:r>
          </w:p>
        </w:tc>
      </w:tr>
      <w:tr>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2E75B6"/>
                <w:sz w:val="20"/>
                <w:szCs w:val="20"/>
              </w:rPr>
              <w:t xml:space="preserve">CON-003</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Parallel Consumer Fault Isolation</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failure in Consumer C (SMS/Email Notification) must not trigger a rollback of Consumer A (ITSM Ticketing). The engineering ticket must remain open.</w:t>
            </w:r>
          </w:p>
        </w:tc>
        <w:tc>
          <w:tcPr>
            <w:tcW w:type="dxa" w:w="26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Each consumer group maintains its own dead-letter topic. Consumer C failures are retried with exponential back-off up to 5 attempts before routing to DLQ.</w:t>
            </w:r>
          </w:p>
        </w:tc>
      </w:tr>
    </w:tbl>
    <w:p>
      <w:pPr>
        <w:spacing w:after="200" w:before="0"/>
      </w:pPr>
    </w:p>
    <w:p>
      <w:r>
        <w:br w:type="page"/>
      </w:r>
    </w:p>
    <w:p>
      <w:pPr>
        <w:pStyle w:val="Heading1"/>
        <w:spacing w:before="320" w:after="160"/>
      </w:pPr>
      <w:r>
        <w:rPr>
          <w:rFonts w:ascii="Arial" w:cs="Arial" w:eastAsia="Arial" w:hAnsi="Arial"/>
        </w:rPr>
        <w:t xml:space="preserve">7.  Glossary of Terms</w:t>
      </w:r>
    </w:p>
    <w:p>
      <w:pPr>
        <w:pBdr>
          <w:bottom w:val="single" w:color="2E75B6" w:sz="6" w:space="1"/>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Acronym / Term</w:t>
            </w:r>
          </w:p>
        </w:tc>
        <w:tc>
          <w:tcPr>
            <w:tcW w:type="dxa" w:w="69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Definition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CSA</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Customer Service Agent — internal Jiotel support staff member.</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CRM</w:t>
            </w:r>
          </w:p>
        </w:tc>
        <w:tc>
          <w:tcPr>
            <w:tcW w:type="dxa" w:w="6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Customer Relationship Management system — the primary agent-facing platform.</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EDA</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Event-Driven Architecture — a pattern where system components communicate via asynchronous events.</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FAN</w:t>
            </w:r>
          </w:p>
        </w:tc>
        <w:tc>
          <w:tcPr>
            <w:tcW w:type="dxa" w:w="6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Fibre Account Number — the unique identifier for a customer's fibre subscription.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FMS</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Fault Management System — the system described in this document.</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ITSM</w:t>
            </w:r>
          </w:p>
        </w:tc>
        <w:tc>
          <w:tcPr>
            <w:tcW w:type="dxa" w:w="6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IT Service Management — the discipline of managing IT services; implemented here via ServiceNow.</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JWT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JSON Web Token — a compact, URL-safe token used for authentication and authorisation.</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LOS</w:t>
            </w:r>
          </w:p>
        </w:tc>
        <w:tc>
          <w:tcPr>
            <w:tcW w:type="dxa" w:w="6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Loss of Signal — a network condition where the ONT cannot establish an upstream connection to the OLT.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NOC</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Network Operations Centre — the team responsible for monitoring and responding to network incidents.</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OLT</w:t>
            </w:r>
          </w:p>
        </w:tc>
        <w:tc>
          <w:tcPr>
            <w:tcW w:type="dxa" w:w="6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Optical Line Terminal — the carrier-side equipment that terminates the fibre optic connection.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ONT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Optical Network Terminal — the customer-premises equipment (router) that connects to the OLT.</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OSS</w:t>
            </w:r>
          </w:p>
        </w:tc>
        <w:tc>
          <w:tcPr>
            <w:tcW w:type="dxa" w:w="6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Operations Support System — the backend system used to query network equipment state.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SSO</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Single Sign-On — an authentication mechanism allowing access to multiple systems with one set of credentials.</w:t>
            </w:r>
          </w:p>
        </w:tc>
      </w:tr>
      <w:tr>
        <w:tc>
          <w:tcPr>
            <w:tcW w:type="dxa" w:w="2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DLQ</w:t>
            </w:r>
          </w:p>
        </w:tc>
        <w:tc>
          <w:tcPr>
            <w:tcW w:type="dxa" w:w="69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Dead-Letter Queue — a Kafka topic used to store messages that could not be processed after the maximum retry attempts.</w:t>
            </w:r>
          </w:p>
        </w:tc>
      </w:tr>
    </w:tbl>
    <w:sectPr>
      <w:headerReference w:type="default" r:id="rId6"/>
      <w:footerReference w:type="default" r:id="rId7"/>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513"/>
        <w:tab w:val="right" w:pos="9026"/>
      </w:tabs>
      <w:spacing w:before="120"/>
    </w:pPr>
    <w:r>
      <w:rPr>
        <w:rFonts w:ascii="Arial" w:cs="Arial" w:eastAsia="Arial" w:hAnsi="Arial"/>
        <w:color w:val="808080"/>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808080"/>
        <w:sz w:val="16"/>
        <w:szCs w:val="16"/>
      </w:rPr>
      <w:t xml:space="preserve">Page </w:t>
    </w:r>
    <w:r>
      <w:fldChar w:fldCharType="begin"/>
      <w:instrText xml:space="preserve">PAGE</w:instrText>
      <w:fldChar w:fldCharType="separate"/>
      <w:fldChar w:fldCharType="end"/>
    </w:r>
    <w:r>
      <w:rPr>
        <w:rFonts w:ascii="Arial" w:cs="Arial" w:eastAsia="Arial" w:hAnsi="Arial"/>
        <w:sz w:val="16"/>
        <w:szCs w:val="16"/>
      </w:rPr>
      <w:t xml:space="preserve">	</w:t>
    </w:r>
    <w:r>
      <w:rPr>
        <w:rFonts w:ascii="Arial" w:cs="Arial" w:eastAsia="Arial" w:hAnsi="Arial"/>
        <w:color w:val="808080"/>
        <w:sz w:val="16"/>
        <w:szCs w:val="16"/>
      </w:rPr>
      <w:t xml:space="preserve">Enterprise Architecture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808080"/>
        <w:sz w:val="18"/>
        <w:szCs w:val="18"/>
      </w:rPr>
      <w:t xml:space="preserve">Jiotel Fibre FMS  |  High Level Design  |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2026-03-14T14:51:53.916Z</dcterms:created>
  <dcterms:modified xsi:type="dcterms:W3CDTF">2026-03-14T14:51:53.917Z</dcterms:modified>
</cp:coreProperties>
</file>

<file path=docProps/custom.xml><?xml version="1.0" encoding="utf-8"?>
<Properties xmlns="http://schemas.openxmlformats.org/officeDocument/2006/custom-properties" xmlns:vt="http://schemas.openxmlformats.org/officeDocument/2006/docPropsVTypes"/>
</file>