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Original GAT Education Paper Analysis</w:t>
      </w:r>
    </w:p>
    <w:bookmarkStart w:id="37" w:name="X52a317b3a2f1dbdff229a0323c9582c8ec4103d"/>
    <w:p>
      <w:pPr>
        <w:pStyle w:val="Heading1"/>
      </w:pPr>
      <w:r>
        <w:t xml:space="preserve">Analysis of the Original GAT–Education Question Paper</w:t>
      </w:r>
    </w:p>
    <w:bookmarkStart w:id="20" w:name="X0c2a56c7af89dc402f2ef72f5860c9207dbd1d8"/>
    <w:p>
      <w:pPr>
        <w:pStyle w:val="Heading2"/>
      </w:pPr>
      <w:r>
        <w:t xml:space="preserve">1. Examination architecture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Original paper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Reproduced in mock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questions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hours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marks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Marks per 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Wrong-answer penalty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One-third of item marks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One-third of item 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questions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questions, Hindi and English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questions, Hindi and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format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Four-option, single-best-answer MCQ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Same</w:t>
            </w:r>
          </w:p>
        </w:tc>
      </w:tr>
    </w:tbl>
    <w:p>
      <w:pPr>
        <w:pStyle w:val="BodyText"/>
      </w:pPr>
      <w:r>
        <w:t xml:space="preserve">The scan is a 52-page, image-only booklet titled</w:t>
      </w:r>
      <w:r>
        <w:t xml:space="preserve"> </w:t>
      </w:r>
      <w:r>
        <w:rPr>
          <w:bCs/>
          <w:b/>
        </w:rPr>
        <w:t xml:space="preserve">General Aptitude Test — Education</w:t>
      </w:r>
      <w:r>
        <w:t xml:space="preserve">. Questions occupy Q1–Q120; the remaining pages provide rough work and instructions. Part B is bilingual.</w:t>
      </w:r>
    </w:p>
    <w:bookmarkEnd w:id="20"/>
    <w:bookmarkStart w:id="23" w:name="X98de6f16e3c368130bc31ca7cd36f63cb47c881"/>
    <w:p>
      <w:pPr>
        <w:pStyle w:val="Heading2"/>
      </w:pPr>
      <w:r>
        <w:t xml:space="preserve">2. Section and topic blueprint</w:t>
      </w:r>
    </w:p>
    <w:bookmarkStart w:id="21" w:name="part-a--20-questions"/>
    <w:p>
      <w:pPr>
        <w:pStyle w:val="Heading3"/>
      </w:pPr>
      <w:r>
        <w:t xml:space="preserve">Part A — 20 questions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emphasis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Q1–Q2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passage: assumptions/inference and crux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original passage; same two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Q3–Q5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Phrasal verbs, error detection, idioms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formats and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Q6–Q7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Hindi extracts with statement-based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original extracts with statement-code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Q8–Q10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Hindi idiom/phrase matching and sentence correctness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मुहावरा–अर्थ, लोकोक्ति–अर्थ and sentence correctness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Q11–Q15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grammar and vocabulary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Determiners, voice, narration, parts of speech, one-word substitution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Q16–Q20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Hindi grammar and vocabulary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कारक-विभक्ति, spelling, sentence correctness, antonyms and two-statement correctness</w:t>
            </w:r>
          </w:p>
        </w:tc>
      </w:tr>
    </w:tbl>
    <w:bookmarkEnd w:id="21"/>
    <w:bookmarkStart w:id="22" w:name="part-b--100-questions"/>
    <w:p>
      <w:pPr>
        <w:pStyle w:val="Heading3"/>
      </w:pPr>
      <w:r>
        <w:t xml:space="preserve">Part B — 100 questions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emphasis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Q21–Q40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Quantitative aptitude and analytical 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Divisibility, sets, marks, ages, weighted averages, data sufficiency, arrangements, series, inequalities and linear equations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Q41–Q60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 schemes/institutions plus civics and general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Teachers’ Day, PM SHRI, NPS, Smart Virtual Classroom, law officers, President/Vice-President, Sainik Schools, DIKSHA/NISHTHA, KGBV, girls’ incentive scheme, NIOS, PM POSHAN, nutrition gardens, scheme convergence, EMRS, RTE amendment, UNESCO ICT prize, Flag Code, Quad/G7 and Union Territories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Q61–Q68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NEP 2020 and RTE policy concepts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 education, PTR/SEDG, ABC, teacher education, multilingualism, FLN, RTE duties/admission/private tuition and ECCE implementation agencies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Q69–Q72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 foundations and child-rights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Validity, formative assessment, CRC and Juvenile Justice 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Q73–Q85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Educational evaluation, psychology and policy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Reliability, standardised achievement tests, affective objectives, reliability factors, item analysis, diagnostic reporting, projective methods, democratic practice, Operation Blackboard, aptitude, holistic education and CCE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Q86–Q109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Statistics, measurement, test analysis and inclusion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tendency, dispersion, shared-table item analysis, z-score, skewness, measurement scales, validity, reliability, normal distribution, Spearman–Brown, standard deviation, CV and Gender Inclusion Fund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Q110–Q120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administration, law and general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Economy sectors, Prevention of Corruption Act, RTI, RTE, Lok Sabha procedure, POSH and public finance</w:t>
            </w:r>
          </w:p>
        </w:tc>
      </w:tr>
    </w:tbl>
    <w:bookmarkEnd w:id="22"/>
    <w:bookmarkEnd w:id="23"/>
    <w:bookmarkStart w:id="24" w:name="X29746159c3a27389db2cd26ca821fb8e3217b3d"/>
    <w:p>
      <w:pPr>
        <w:pStyle w:val="Heading2"/>
      </w:pPr>
      <w:r>
        <w:t xml:space="preserve">3. Pattern analysis</w:t>
      </w:r>
    </w:p>
    <w:p>
      <w:pPr>
        <w:pStyle w:val="FirstParagraph"/>
      </w:pPr>
      <w:r>
        <w:t xml:space="preserve">The paper is not a simple recall test. Its dominant forms are:</w:t>
      </w:r>
    </w:p>
    <w:p>
      <w:pPr>
        <w:numPr>
          <w:ilvl w:val="0"/>
          <w:numId w:val="1001"/>
        </w:numPr>
        <w:pStyle w:val="Compact"/>
      </w:pPr>
      <w:r>
        <w:t xml:space="preserve">two- or three-statement questions followed by a code;</w:t>
      </w:r>
    </w:p>
    <w:p>
      <w:pPr>
        <w:numPr>
          <w:ilvl w:val="0"/>
          <w:numId w:val="1001"/>
        </w:numPr>
        <w:pStyle w:val="Compact"/>
      </w:pPr>
      <w:r>
        <w:t xml:space="preserve">correctly matched pair/count questions;</w:t>
      </w:r>
    </w:p>
    <w:p>
      <w:pPr>
        <w:numPr>
          <w:ilvl w:val="0"/>
          <w:numId w:val="1001"/>
        </w:numPr>
        <w:pStyle w:val="Compact"/>
      </w:pPr>
      <w:r>
        <w:t xml:space="preserve">one-best-answer conceptual questions;</w:t>
      </w:r>
    </w:p>
    <w:p>
      <w:pPr>
        <w:numPr>
          <w:ilvl w:val="0"/>
          <w:numId w:val="1001"/>
        </w:numPr>
        <w:pStyle w:val="Compact"/>
      </w:pPr>
      <w:r>
        <w:t xml:space="preserve">assertion/explanation or Statement I/Statement II reasoning;</w:t>
      </w:r>
    </w:p>
    <w:p>
      <w:pPr>
        <w:numPr>
          <w:ilvl w:val="0"/>
          <w:numId w:val="1001"/>
        </w:numPr>
        <w:pStyle w:val="Compact"/>
      </w:pPr>
      <w:r>
        <w:t xml:space="preserve">short numerical cases requiring one to three linked steps;</w:t>
      </w:r>
    </w:p>
    <w:p>
      <w:pPr>
        <w:numPr>
          <w:ilvl w:val="0"/>
          <w:numId w:val="1001"/>
        </w:numPr>
        <w:pStyle w:val="Compact"/>
      </w:pPr>
      <w:r>
        <w:t xml:space="preserve">data-sufficiency and arrangement problems; and</w:t>
      </w:r>
    </w:p>
    <w:p>
      <w:pPr>
        <w:numPr>
          <w:ilvl w:val="0"/>
          <w:numId w:val="1001"/>
        </w:numPr>
        <w:pStyle w:val="Compact"/>
      </w:pPr>
      <w:r>
        <w:t xml:space="preserve">passage-based inference rather than factual extraction.</w:t>
      </w:r>
    </w:p>
    <w:p>
      <w:pPr>
        <w:pStyle w:val="FirstParagraph"/>
      </w:pPr>
      <w:r>
        <w:t xml:space="preserve">Distractors typically use a true statement placed in the wrong context, reverse a technical relationship, change a statutory number, or exploit a common computational shortcut. The mock follows these distractor principles.</w:t>
      </w:r>
    </w:p>
    <w:bookmarkEnd w:id="24"/>
    <w:bookmarkStart w:id="25" w:name="Xbb7678ea2ce55cf8a01501318e7813481e27d85"/>
    <w:p>
      <w:pPr>
        <w:pStyle w:val="Heading2"/>
      </w:pPr>
      <w:r>
        <w:t xml:space="preserve">4. Difficulty and cognitive demand</w:t>
      </w:r>
    </w:p>
    <w:p>
      <w:pPr>
        <w:pStyle w:val="FirstParagraph"/>
      </w:pPr>
      <w:r>
        <w:t xml:space="preserve">The original is</w:t>
      </w:r>
      <w:r>
        <w:t xml:space="preserve"> </w:t>
      </w:r>
      <w:r>
        <w:rPr>
          <w:bCs/>
          <w:b/>
        </w:rPr>
        <w:t xml:space="preserve">predominantly moderate</w:t>
      </w:r>
      <w:r>
        <w:t xml:space="preserve">, with easier factual/concept-definition items interspersed with harder legal-detail, psychometric and multi-step quantitative items. Difficulty comes more from breadth and close alternatives than from long calculations. The mock uses the same profile: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Easy to lower-moderate:</w:t>
      </w:r>
      <w:r>
        <w:t xml:space="preserve"> </w:t>
      </w:r>
      <w:r>
        <w:t xml:space="preserve">direct definitions, basic institutional roles, elementary central tendency.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Moderate:</w:t>
      </w:r>
      <w:r>
        <w:t xml:space="preserve"> </w:t>
      </w:r>
      <w:r>
        <w:t xml:space="preserve">statement-code policy questions, grammar matching, weighted calculations, validity/reliability distinctions.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Upper-moderate to hard:</w:t>
      </w:r>
      <w:r>
        <w:t xml:space="preserve"> </w:t>
      </w:r>
      <w:r>
        <w:t xml:space="preserve">data sufficiency, constrained arrangements, item analysis, Spearman–Brown calculations and fine statutory distinctions.</w:t>
      </w:r>
    </w:p>
    <w:p>
      <w:pPr>
        <w:pStyle w:val="FirstParagraph"/>
      </w:pPr>
      <w:r>
        <w:t xml:space="preserve">This is a qualitative calibration because the source booklet supplies no official item statistics.</w:t>
      </w:r>
    </w:p>
    <w:bookmarkEnd w:id="25"/>
    <w:bookmarkStart w:id="26" w:name="Xb67c5fe98dc4cbabb65a53dc42ee343a46da7bd"/>
    <w:p>
      <w:pPr>
        <w:pStyle w:val="Heading2"/>
      </w:pPr>
      <w:r>
        <w:t xml:space="preserve">5. Quality controls applied to the mock</w:t>
      </w:r>
    </w:p>
    <w:p>
      <w:pPr>
        <w:numPr>
          <w:ilvl w:val="0"/>
          <w:numId w:val="1003"/>
        </w:numPr>
        <w:pStyle w:val="Compact"/>
      </w:pPr>
      <w:r>
        <w:t xml:space="preserve">Every stem is newly authored; some intentionally retain the original item model while using different data, applications or reasoning demands.</w:t>
      </w:r>
    </w:p>
    <w:p>
      <w:pPr>
        <w:numPr>
          <w:ilvl w:val="0"/>
          <w:numId w:val="1003"/>
        </w:numPr>
        <w:pStyle w:val="Compact"/>
      </w:pPr>
      <w:r>
        <w:t xml:space="preserve">The formal 20/100 part distribution and section-level question counts are retained; related quantitative subtopics are redistributed within Q21–Q40.</w:t>
      </w:r>
    </w:p>
    <w:p>
      <w:pPr>
        <w:numPr>
          <w:ilvl w:val="0"/>
          <w:numId w:val="1003"/>
        </w:numPr>
        <w:pStyle w:val="Compact"/>
      </w:pPr>
      <w:r>
        <w:t xml:space="preserve">Answer positions are balanced across the complete paper without changing item content or difficulty.</w:t>
      </w:r>
    </w:p>
    <w:p>
      <w:pPr>
        <w:numPr>
          <w:ilvl w:val="0"/>
          <w:numId w:val="1003"/>
        </w:numPr>
        <w:pStyle w:val="Compact"/>
      </w:pPr>
      <w:r>
        <w:t xml:space="preserve">Numerical answers were independently recomputed from the stated data.</w:t>
      </w:r>
    </w:p>
    <w:p>
      <w:pPr>
        <w:numPr>
          <w:ilvl w:val="0"/>
          <w:numId w:val="1003"/>
        </w:numPr>
        <w:pStyle w:val="Compact"/>
      </w:pPr>
      <w:r>
        <w:t xml:space="preserve">Statutory and policy items use official primary sources (Government of India, India Code, Parliament, UNICEF/OHCHR, NCERT, NIOS and CBSE).</w:t>
      </w:r>
    </w:p>
    <w:p>
      <w:pPr>
        <w:numPr>
          <w:ilvl w:val="0"/>
          <w:numId w:val="1003"/>
        </w:numPr>
        <w:pStyle w:val="Compact"/>
      </w:pPr>
      <w:r>
        <w:t xml:space="preserve">Time-sensitive trivia was avoided where a stable policy, statutory or institutional fact could test the same topic.</w:t>
      </w:r>
    </w:p>
    <w:p>
      <w:pPr>
        <w:numPr>
          <w:ilvl w:val="0"/>
          <w:numId w:val="1003"/>
        </w:numPr>
        <w:pStyle w:val="Compact"/>
      </w:pPr>
      <w:r>
        <w:t xml:space="preserve">Hindi and English Part B versions convey the same proposition and data.</w:t>
      </w:r>
    </w:p>
    <w:bookmarkEnd w:id="26"/>
    <w:bookmarkStart w:id="36" w:name="X9b62c9a36676b817c7c16c76c5793d97bda21ce"/>
    <w:p>
      <w:pPr>
        <w:pStyle w:val="Heading2"/>
      </w:pPr>
      <w:r>
        <w:t xml:space="preserve">6. Principal source base</w:t>
      </w:r>
    </w:p>
    <w:p>
      <w:pPr>
        <w:pStyle w:val="FirstParagraph"/>
      </w:pPr>
      <w:r>
        <w:t xml:space="preserve">The mock cites sources alongside its explanations. Core references include:</w:t>
      </w:r>
    </w:p>
    <w:p>
      <w:pPr>
        <w:numPr>
          <w:ilvl w:val="0"/>
          <w:numId w:val="1004"/>
        </w:numPr>
        <w:pStyle w:val="Compact"/>
      </w:pPr>
      <w:r>
        <w:t xml:space="preserve">Ministry of Education,</w:t>
      </w:r>
      <w:r>
        <w:t xml:space="preserve"> </w:t>
      </w:r>
      <w:r>
        <w:rPr>
          <w:iCs/>
          <w:i/>
        </w:rPr>
        <w:t xml:space="preserve">National Education Policy 2020</w:t>
      </w:r>
      <w:r>
        <w:t xml:space="preserve">:</w:t>
      </w:r>
      <w:r>
        <w:t xml:space="preserve"> </w:t>
      </w:r>
      <w:hyperlink r:id="rId27">
        <w:r>
          <w:rPr>
            <w:rStyle w:val="Hyperlink"/>
          </w:rPr>
          <w:t xml:space="preserve">https://www.education.gov.in/sites/upload_files/mhrd/files/NEP_Final_English_0.pdf</w:t>
        </w:r>
      </w:hyperlink>
    </w:p>
    <w:p>
      <w:pPr>
        <w:numPr>
          <w:ilvl w:val="0"/>
          <w:numId w:val="1004"/>
        </w:numPr>
        <w:pStyle w:val="Compact"/>
      </w:pPr>
      <w:r>
        <w:t xml:space="preserve">Legislative Department/India Code,</w:t>
      </w:r>
      <w:r>
        <w:t xml:space="preserve"> </w:t>
      </w:r>
      <w:r>
        <w:rPr>
          <w:iCs/>
          <w:i/>
        </w:rPr>
        <w:t xml:space="preserve">Right of Children to Free and Compulsory Education Act, 2009</w:t>
      </w:r>
      <w:r>
        <w:t xml:space="preserve">:</w:t>
      </w:r>
      <w:r>
        <w:t xml:space="preserve"> </w:t>
      </w:r>
      <w:hyperlink r:id="rId28">
        <w:r>
          <w:rPr>
            <w:rStyle w:val="Hyperlink"/>
          </w:rPr>
          <w:t xml:space="preserve">https://lddashboard.legislative.gov.in/sites/default/files/A2009-35_0.pdf</w:t>
        </w:r>
      </w:hyperlink>
    </w:p>
    <w:p>
      <w:pPr>
        <w:numPr>
          <w:ilvl w:val="0"/>
          <w:numId w:val="1004"/>
        </w:numPr>
        <w:pStyle w:val="Compact"/>
      </w:pPr>
      <w:r>
        <w:t xml:space="preserve">DoPT, updated</w:t>
      </w:r>
      <w:r>
        <w:t xml:space="preserve"> </w:t>
      </w:r>
      <w:r>
        <w:rPr>
          <w:iCs/>
          <w:i/>
        </w:rPr>
        <w:t xml:space="preserve">Right to Information Act, 2005</w:t>
      </w:r>
      <w:r>
        <w:t xml:space="preserve">:</w:t>
      </w:r>
      <w:r>
        <w:t xml:space="preserve"> </w:t>
      </w:r>
      <w:hyperlink r:id="rId29">
        <w:r>
          <w:rPr>
            <w:rStyle w:val="Hyperlink"/>
          </w:rPr>
          <w:t xml:space="preserve">https://dopt.gov.in/download/acts</w:t>
        </w:r>
      </w:hyperlink>
    </w:p>
    <w:p>
      <w:pPr>
        <w:numPr>
          <w:ilvl w:val="0"/>
          <w:numId w:val="1004"/>
        </w:numPr>
        <w:pStyle w:val="Compact"/>
      </w:pPr>
      <w:r>
        <w:t xml:space="preserve">India Code,</w:t>
      </w:r>
      <w:r>
        <w:t xml:space="preserve"> </w:t>
      </w:r>
      <w:r>
        <w:rPr>
          <w:iCs/>
          <w:i/>
        </w:rPr>
        <w:t xml:space="preserve">Juvenile Justice (Care and Protection of Children) Act, 2015</w:t>
      </w:r>
      <w:r>
        <w:t xml:space="preserve">:</w:t>
      </w:r>
      <w:r>
        <w:t xml:space="preserve"> </w:t>
      </w:r>
      <w:hyperlink r:id="rId30">
        <w:r>
          <w:rPr>
            <w:rStyle w:val="Hyperlink"/>
          </w:rPr>
          <w:t xml:space="preserve">https://www.indiacode.nic.in/bitstream/123456789/2148/1/a2016-2.pdf</w:t>
        </w:r>
      </w:hyperlink>
    </w:p>
    <w:p>
      <w:pPr>
        <w:numPr>
          <w:ilvl w:val="0"/>
          <w:numId w:val="1004"/>
        </w:numPr>
        <w:pStyle w:val="Compact"/>
      </w:pPr>
      <w:r>
        <w:t xml:space="preserve">India Code,</w:t>
      </w:r>
      <w:r>
        <w:t xml:space="preserve"> </w:t>
      </w:r>
      <w:r>
        <w:rPr>
          <w:iCs/>
          <w:i/>
        </w:rPr>
        <w:t xml:space="preserve">Sexual Harassment of Women at Workplace Act, 2013</w:t>
      </w:r>
      <w:r>
        <w:t xml:space="preserve">:</w:t>
      </w:r>
      <w:r>
        <w:t xml:space="preserve"> </w:t>
      </w:r>
      <w:hyperlink r:id="rId31">
        <w:r>
          <w:rPr>
            <w:rStyle w:val="Hyperlink"/>
          </w:rPr>
          <w:t xml:space="preserve">https://www.indiacode.nic.in/bitstream/123456789/2104/1/A2013-14.pdf</w:t>
        </w:r>
      </w:hyperlink>
    </w:p>
    <w:p>
      <w:pPr>
        <w:numPr>
          <w:ilvl w:val="0"/>
          <w:numId w:val="1004"/>
        </w:numPr>
        <w:pStyle w:val="Compact"/>
      </w:pPr>
      <w:r>
        <w:t xml:space="preserve">PM POSHAN official guidelines:</w:t>
      </w:r>
      <w:r>
        <w:t xml:space="preserve"> </w:t>
      </w:r>
      <w:hyperlink r:id="rId32">
        <w:r>
          <w:rPr>
            <w:rStyle w:val="Hyperlink"/>
          </w:rPr>
          <w:t xml:space="preserve">https://pmposhan.education.gov.in/Files/Guidelines/2023/Guidelines%20on%20PM%20POSHAN%20SCHEME.pdf</w:t>
        </w:r>
      </w:hyperlink>
    </w:p>
    <w:p>
      <w:pPr>
        <w:numPr>
          <w:ilvl w:val="0"/>
          <w:numId w:val="1004"/>
        </w:numPr>
        <w:pStyle w:val="Compact"/>
      </w:pPr>
      <w:r>
        <w:t xml:space="preserve">PM SHRI official portal:</w:t>
      </w:r>
      <w:r>
        <w:t xml:space="preserve"> </w:t>
      </w:r>
      <w:hyperlink r:id="rId33">
        <w:r>
          <w:rPr>
            <w:rStyle w:val="Hyperlink"/>
          </w:rPr>
          <w:t xml:space="preserve">https://pmshrischools.education.gov.in/about-us</w:t>
        </w:r>
      </w:hyperlink>
    </w:p>
    <w:p>
      <w:pPr>
        <w:numPr>
          <w:ilvl w:val="0"/>
          <w:numId w:val="1004"/>
        </w:numPr>
        <w:pStyle w:val="Compact"/>
      </w:pPr>
      <w:r>
        <w:t xml:space="preserve">Samagra Shiksha official framework:</w:t>
      </w:r>
      <w:r>
        <w:t xml:space="preserve"> </w:t>
      </w:r>
      <w:hyperlink r:id="rId34">
        <w:r>
          <w:rPr>
            <w:rStyle w:val="Hyperlink"/>
          </w:rPr>
          <w:t xml:space="preserve">https://samagra.education.gov.in/docs/samagra_shiksha.pdf</w:t>
        </w:r>
      </w:hyperlink>
    </w:p>
    <w:p>
      <w:pPr>
        <w:numPr>
          <w:ilvl w:val="0"/>
          <w:numId w:val="1004"/>
        </w:numPr>
        <w:pStyle w:val="Compact"/>
      </w:pPr>
      <w:r>
        <w:t xml:space="preserve">UNICEF/OHCHR,</w:t>
      </w:r>
      <w:r>
        <w:t xml:space="preserve"> </w:t>
      </w:r>
      <w:r>
        <w:rPr>
          <w:iCs/>
          <w:i/>
        </w:rPr>
        <w:t xml:space="preserve">Convention on the Rights of the Child</w:t>
      </w:r>
      <w:r>
        <w:t xml:space="preserve">:</w:t>
      </w:r>
      <w:r>
        <w:t xml:space="preserve"> </w:t>
      </w:r>
      <w:hyperlink r:id="rId35">
        <w:r>
          <w:rPr>
            <w:rStyle w:val="Hyperlink"/>
          </w:rPr>
          <w:t xml:space="preserve">https://www.unicef.org/child-rights-convention/convention-text</w:t>
        </w:r>
      </w:hyperlink>
    </w:p>
    <w:p>
      <w:pPr>
        <w:numPr>
          <w:ilvl w:val="0"/>
          <w:numId w:val="1004"/>
        </w:numPr>
        <w:pStyle w:val="Compact"/>
      </w:pPr>
      <w:r>
        <w:t xml:space="preserve">NCERT, NIOS and CBSE materials on assessment, measurement and CCE, linked in the mock's source map.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dopt.gov.in/download/acts" TargetMode="External" /><Relationship Type="http://schemas.openxmlformats.org/officeDocument/2006/relationships/hyperlink" Id="rId28" Target="https://lddashboard.legislative.gov.in/sites/default/files/A2009-35_0.pdf" TargetMode="External" /><Relationship Type="http://schemas.openxmlformats.org/officeDocument/2006/relationships/hyperlink" Id="rId32" Target="https://pmposhan.education.gov.in/Files/Guidelines/2023/Guidelines%20on%20PM%20POSHAN%20SCHEME.pdf" TargetMode="External" /><Relationship Type="http://schemas.openxmlformats.org/officeDocument/2006/relationships/hyperlink" Id="rId33" Target="https://pmshrischools.education.gov.in/about-us" TargetMode="External" /><Relationship Type="http://schemas.openxmlformats.org/officeDocument/2006/relationships/hyperlink" Id="rId34" Target="https://samagra.education.gov.in/docs/samagra_shiksha.pdf" TargetMode="External" /><Relationship Type="http://schemas.openxmlformats.org/officeDocument/2006/relationships/hyperlink" Id="rId27" Target="https://www.education.gov.in/sites/upload_files/mhrd/files/NEP_Final_English_0.pdf" TargetMode="External" /><Relationship Type="http://schemas.openxmlformats.org/officeDocument/2006/relationships/hyperlink" Id="rId31" Target="https://www.indiacode.nic.in/bitstream/123456789/2104/1/A2013-14.pdf" TargetMode="External" /><Relationship Type="http://schemas.openxmlformats.org/officeDocument/2006/relationships/hyperlink" Id="rId30" Target="https://www.indiacode.nic.in/bitstream/123456789/2148/1/a2016-2.pdf" TargetMode="External" /><Relationship Type="http://schemas.openxmlformats.org/officeDocument/2006/relationships/hyperlink" Id="rId35" Target="https://www.unicef.org/child-rights-convention/convention-tex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pt.gov.in/download/acts" TargetMode="External" /><Relationship Type="http://schemas.openxmlformats.org/officeDocument/2006/relationships/hyperlink" Id="rId28" Target="https://lddashboard.legislative.gov.in/sites/default/files/A2009-35_0.pdf" TargetMode="External" /><Relationship Type="http://schemas.openxmlformats.org/officeDocument/2006/relationships/hyperlink" Id="rId32" Target="https://pmposhan.education.gov.in/Files/Guidelines/2023/Guidelines%20on%20PM%20POSHAN%20SCHEME.pdf" TargetMode="External" /><Relationship Type="http://schemas.openxmlformats.org/officeDocument/2006/relationships/hyperlink" Id="rId33" Target="https://pmshrischools.education.gov.in/about-us" TargetMode="External" /><Relationship Type="http://schemas.openxmlformats.org/officeDocument/2006/relationships/hyperlink" Id="rId34" Target="https://samagra.education.gov.in/docs/samagra_shiksha.pdf" TargetMode="External" /><Relationship Type="http://schemas.openxmlformats.org/officeDocument/2006/relationships/hyperlink" Id="rId27" Target="https://www.education.gov.in/sites/upload_files/mhrd/files/NEP_Final_English_0.pdf" TargetMode="External" /><Relationship Type="http://schemas.openxmlformats.org/officeDocument/2006/relationships/hyperlink" Id="rId31" Target="https://www.indiacode.nic.in/bitstream/123456789/2104/1/A2013-14.pdf" TargetMode="External" /><Relationship Type="http://schemas.openxmlformats.org/officeDocument/2006/relationships/hyperlink" Id="rId30" Target="https://www.indiacode.nic.in/bitstream/123456789/2148/1/a2016-2.pdf" TargetMode="External" /><Relationship Type="http://schemas.openxmlformats.org/officeDocument/2006/relationships/hyperlink" Id="rId35" Target="https://www.unicef.org/child-rights-convention/convention-tex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Original GAT Education Paper Analysis</dc:title>
  <dc:creator/>
  <cp:keywords/>
  <dcterms:created xsi:type="dcterms:W3CDTF">2026-09-03T13:26:38Z</dcterms:created>
  <dcterms:modified xsi:type="dcterms:W3CDTF">2026-09-03T13:26:38Z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